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63"/>
        </w:tabs>
        <w:jc w:val="center"/>
        <w:rPr>
          <w:rFonts w:hint="eastAsia" w:ascii="黑体" w:hAnsi="黑体" w:eastAsia="黑体" w:cs="黑体"/>
          <w:b/>
          <w:bCs/>
          <w:sz w:val="24"/>
          <w:szCs w:val="24"/>
        </w:rPr>
      </w:pPr>
    </w:p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郑州市水</w:t>
      </w:r>
      <w:r>
        <w:rPr>
          <w:rFonts w:hint="eastAsia" w:ascii="Times New Roman" w:hAnsi="黑体" w:eastAsia="黑体"/>
          <w:b/>
          <w:color w:val="000000"/>
          <w:sz w:val="44"/>
          <w:szCs w:val="44"/>
          <w:lang w:val="en-US" w:eastAsia="zh-CN"/>
        </w:rPr>
        <w:t>利</w:t>
      </w:r>
      <w:r>
        <w:rPr>
          <w:rFonts w:hint="eastAsia" w:ascii="Times New Roman" w:hAnsi="黑体" w:eastAsia="黑体"/>
          <w:b/>
          <w:color w:val="000000"/>
          <w:sz w:val="44"/>
          <w:szCs w:val="44"/>
        </w:rPr>
        <w:t>局</w:t>
      </w:r>
    </w:p>
    <w:p>
      <w:pPr>
        <w:tabs>
          <w:tab w:val="left" w:pos="1663"/>
        </w:tabs>
        <w:jc w:val="center"/>
        <w:rPr>
          <w:rFonts w:hint="eastAsia" w:ascii="Times New Roman" w:hAnsi="黑体" w:eastAsia="黑体"/>
          <w:b/>
          <w:color w:val="000000"/>
          <w:sz w:val="44"/>
          <w:szCs w:val="44"/>
        </w:rPr>
      </w:pPr>
      <w:r>
        <w:rPr>
          <w:rFonts w:hint="eastAsia" w:ascii="Times New Roman" w:hAnsi="黑体" w:eastAsia="黑体"/>
          <w:b/>
          <w:color w:val="000000"/>
          <w:sz w:val="44"/>
          <w:szCs w:val="44"/>
        </w:rPr>
        <w:t>准予水行政许可决定书</w:t>
      </w:r>
    </w:p>
    <w:p>
      <w:pPr>
        <w:tabs>
          <w:tab w:val="left" w:pos="1663"/>
        </w:tabs>
        <w:jc w:val="right"/>
        <w:rPr>
          <w:rFonts w:hint="eastAsia" w:ascii="Times New Roman" w:hAnsi="黑体" w:eastAsia="黑体"/>
          <w:color w:val="000000"/>
          <w:sz w:val="30"/>
          <w:szCs w:val="30"/>
        </w:rPr>
      </w:pPr>
    </w:p>
    <w:p>
      <w:pPr>
        <w:tabs>
          <w:tab w:val="left" w:pos="1663"/>
        </w:tabs>
        <w:jc w:val="center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郑水行许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9]24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tabs>
          <w:tab w:val="left" w:pos="1663"/>
        </w:tabs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</w:rPr>
        <w:t>许可事项：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关于对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郑州新区污水处理厂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工程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水土保持方案的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批</w:t>
      </w:r>
    </w:p>
    <w:p>
      <w:pPr>
        <w:tabs>
          <w:tab w:val="left" w:pos="1663"/>
        </w:tabs>
        <w:ind w:left="14" w:leftChars="-108" w:right="-92" w:rightChars="-44" w:hanging="241" w:hangingChars="75"/>
        <w:jc w:val="both"/>
        <w:rPr>
          <w:rFonts w:hint="eastAsia" w:ascii="仿宋" w:hAnsi="仿宋" w:eastAsia="仿宋" w:cs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1663"/>
        </w:tabs>
        <w:ind w:left="92" w:leftChars="44" w:right="-92" w:rightChars="-44" w:firstLine="80" w:firstLineChars="25"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郑州市污水净化有限公司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：</w:t>
      </w:r>
    </w:p>
    <w:p>
      <w:pPr>
        <w:tabs>
          <w:tab w:val="left" w:pos="1663"/>
        </w:tabs>
        <w:ind w:left="92" w:leftChars="44" w:right="-92" w:rightChars="-44" w:firstLine="720" w:firstLineChars="225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你单位报送的《关于对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郑州新区污水处理厂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工程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水土保持方案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审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批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的申请》（郑净水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[2019]53号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val="en-US" w:eastAsia="zh-CN"/>
        </w:rPr>
        <w:t>）收悉。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依据《中华人民共和国行政许可法》、《中华人民共和国水土保持法》及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其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配套法规、技术规范的有关规定，经审查，该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申请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  <w:t>符合法定条件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  <w:lang w:eastAsia="zh-CN"/>
        </w:rPr>
        <w:t>，许可如下：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水土保持方案总体意见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、基本同意水土流失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防治责任范围为63.94公倾。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水土流失防治执行北方土石山区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一级标准。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同意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设计水平年（2019年）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水土流失防治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目标为：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水土流失治理度为9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%，水土流失控制比为1.0，渣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土防护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率为9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表土保护率为95,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林草植被恢复率为9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%，林草覆盖率为2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基本同意水土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流失防治分区及防治措施安排。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五）、基本同意水土流失监测时段、内容和方法。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（六）、基本同意建设期水土保持补偿费为767308.8元。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  二、建设单位在工程建设中应全面落实《中华人民共和国水土保持法》的各项要求，并重点做好以下工作: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（一）、按照批准的水土保持方案，做好水土保持初步设计等后续设计，加强施工组织等管理工作，切实落实水土保持“三同时”制度。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（二）、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严格按照方案要求落实各项水保措施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。认真做好施工期间的洒水、苫盖、拦挡等临时防护措施，扬尘污染防治达到“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个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100%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”要求。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施工活动要严格限定在征占地范围内，严禁随意占压、扰动和破坏地表植被。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（三）、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郑东新区水务局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区农委、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中牟县水利局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要依法加强监督检查。建设单位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时向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郑东新区水务局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经开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区农委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和中牟县水利局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报告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工程进展情况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积极配合、主动接受各级水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行政主管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（四）、严格按照水利部相关要求，做好水土保持监测工作，并按规定向我局提交水土保持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监测实施方案、季度报告及总结报告。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（五）、严格按照水利部相关要求，落实水土保持监理工作，确保水土保持工程质量和进度。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00" w:firstLineChars="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（六）、建设单位应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及时与我局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农水和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水保处联系缴纳水土保持补偿费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    三、本项目属水土保持“未批先建”项目 ，生产建设单位要进一步增强水保意识，严格执行水土保持法，防止此类行为再次发生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四、本项目的地点、规模如发生重大变化，或水土保持方案实施过程中水土保持措施发生重大变更，应补充或者修改水土保持方案，并报我局审批。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 xml:space="preserve">五、本项目在竣工验收和投入使用前应通过水土保持设施验收；水土保持设施未验收或验收不合格的，工程不得投入使用。                     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郑州新区污水处理厂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工程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水土保持方案报告书技术评审意见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ind w:firstLine="5760" w:firstLineChars="1800"/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2019年5月21日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D6384"/>
    <w:rsid w:val="12F64E5C"/>
    <w:rsid w:val="23B85D01"/>
    <w:rsid w:val="29AD6384"/>
    <w:rsid w:val="34942B69"/>
    <w:rsid w:val="3A306D3C"/>
    <w:rsid w:val="5B0348A6"/>
    <w:rsid w:val="5FCC4832"/>
    <w:rsid w:val="64DC6473"/>
    <w:rsid w:val="7A9B4CDE"/>
    <w:rsid w:val="7D1742BD"/>
    <w:rsid w:val="7EC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2019-05-15T06:07:00Z</dcterms:created>
  <dc:creator>4032-K31</dc:creator>
  <cp:lastModifiedBy>4032-K31</cp:lastModifiedBy>
  <cp:lastPrinted>2019-05-20T08:03:47Z</cp:lastPrinted>
  <dcterms:modified xsi:type="dcterms:W3CDTF">2019-05-20T08:14:30Z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