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331" w:rightChars="634"/>
        <w:jc w:val="both"/>
        <w:rPr>
          <w:rFonts w:hint="default" w:ascii="Times New Roman" w:hAnsi="Times New Roman" w:eastAsia="黑体" w:cs="Times New Roman"/>
          <w:b/>
          <w:spacing w:val="-20"/>
          <w:sz w:val="84"/>
          <w:szCs w:val="84"/>
        </w:rPr>
      </w:pPr>
    </w:p>
    <w:p>
      <w:pPr>
        <w:bidi w:val="0"/>
        <w:rPr>
          <w:rFonts w:hint="default"/>
        </w:rPr>
      </w:pPr>
    </w:p>
    <w:p>
      <w:pPr>
        <w:pStyle w:val="2"/>
        <w:rPr>
          <w:rFonts w:hint="default"/>
        </w:rPr>
      </w:pPr>
    </w:p>
    <w:p>
      <w:pPr>
        <w:pStyle w:val="2"/>
        <w:rPr>
          <w:rFonts w:hint="default"/>
        </w:rPr>
      </w:pPr>
    </w:p>
    <w:p>
      <w:pPr>
        <w:pStyle w:val="2"/>
        <w:rPr>
          <w:rFonts w:hint="default"/>
        </w:rPr>
      </w:pPr>
    </w:p>
    <w:p>
      <w:pPr>
        <w:ind w:right="1331" w:rightChars="634" w:firstLine="1202" w:firstLineChars="176"/>
        <w:jc w:val="center"/>
        <w:rPr>
          <w:rFonts w:hint="default" w:ascii="Times New Roman" w:hAnsi="Times New Roman" w:eastAsia="方正小标宋简体" w:cs="Times New Roman"/>
          <w:b/>
          <w:spacing w:val="-20"/>
          <w:sz w:val="72"/>
          <w:szCs w:val="72"/>
          <w14:shadow w14:blurRad="50800" w14:dist="38100" w14:dir="2700000" w14:sx="100000" w14:sy="100000" w14:kx="0" w14:ky="0" w14:algn="tl">
            <w14:srgbClr w14:val="000000">
              <w14:alpha w14:val="60000"/>
            </w14:srgbClr>
          </w14:shadow>
        </w:rPr>
      </w:pPr>
      <w:r>
        <w:rPr>
          <w:rFonts w:hint="default" w:ascii="Times New Roman" w:hAnsi="Times New Roman" w:eastAsia="方正小标宋简体" w:cs="Times New Roman"/>
          <w:b/>
          <w:spacing w:val="-20"/>
          <w:sz w:val="72"/>
          <w:szCs w:val="72"/>
          <w14:shadow w14:blurRad="50800" w14:dist="38100" w14:dir="2700000" w14:sx="100000" w14:sy="100000" w14:kx="0" w14:ky="0" w14:algn="tl">
            <w14:srgbClr w14:val="000000">
              <w14:alpha w14:val="60000"/>
            </w14:srgbClr>
          </w14:shadow>
        </w:rPr>
        <w:t>郑州市水资源公报</w:t>
      </w:r>
    </w:p>
    <w:p>
      <w:pPr>
        <w:ind w:right="1331" w:rightChars="634" w:firstLine="1256" w:firstLineChars="392"/>
        <w:jc w:val="center"/>
        <w:rPr>
          <w:rFonts w:hint="default" w:ascii="Times New Roman" w:hAnsi="Times New Roman" w:eastAsia="黑体" w:cs="Times New Roman"/>
          <w:b/>
          <w:sz w:val="32"/>
          <w:szCs w:val="32"/>
        </w:rPr>
      </w:pPr>
      <w:r>
        <w:rPr>
          <w:rFonts w:hint="eastAsia" w:ascii="MingLiU_HKSCS-ExtB" w:hAnsi="MingLiU_HKSCS-ExtB" w:eastAsia="MingLiU_HKSCS-ExtB" w:cs="MingLiU_HKSCS-ExtB"/>
          <w:b/>
          <w:sz w:val="32"/>
          <w:szCs w:val="32"/>
        </w:rPr>
        <w:t>ZHENGZHOU WATER RESOURCES BULLETIN</w:t>
      </w:r>
    </w:p>
    <w:p>
      <w:pPr>
        <w:jc w:val="center"/>
        <w:rPr>
          <w:rFonts w:hint="default" w:ascii="Times New Roman" w:hAnsi="Times New Roman" w:eastAsia="黑体" w:cs="Times New Roman"/>
          <w:b/>
          <w:sz w:val="48"/>
          <w:szCs w:val="48"/>
        </w:rPr>
      </w:pPr>
    </w:p>
    <w:p>
      <w:pPr>
        <w:jc w:val="center"/>
        <w:rPr>
          <w:rFonts w:hint="default" w:ascii="Times New Roman" w:hAnsi="Times New Roman" w:eastAsia="黑体" w:cs="Times New Roman"/>
          <w:b/>
          <w:sz w:val="56"/>
          <w:szCs w:val="56"/>
        </w:rPr>
      </w:pPr>
      <w:r>
        <w:rPr>
          <w:rFonts w:hint="default" w:ascii="Times New Roman" w:hAnsi="Times New Roman" w:eastAsia="黑体" w:cs="Times New Roman"/>
          <w:b/>
          <w:sz w:val="56"/>
          <w:szCs w:val="56"/>
          <w:lang w:eastAsia="zh-CN"/>
        </w:rPr>
        <w:t>2018</w:t>
      </w:r>
      <w:r>
        <w:rPr>
          <w:rFonts w:hint="default" w:ascii="Times New Roman" w:hAnsi="Times New Roman" w:eastAsia="黑体" w:cs="Times New Roman"/>
          <w:b/>
          <w:sz w:val="56"/>
          <w:szCs w:val="56"/>
        </w:rPr>
        <w:t>年</w:t>
      </w:r>
    </w:p>
    <w:p>
      <w:pPr>
        <w:jc w:val="center"/>
        <w:rPr>
          <w:rFonts w:hint="default" w:ascii="Times New Roman" w:hAnsi="Times New Roman" w:eastAsia="黑体" w:cs="Times New Roman"/>
          <w:b/>
          <w:sz w:val="44"/>
          <w:szCs w:val="44"/>
        </w:rPr>
      </w:pPr>
    </w:p>
    <w:p>
      <w:pPr>
        <w:jc w:val="center"/>
        <w:rPr>
          <w:rFonts w:hint="default" w:ascii="Times New Roman" w:hAnsi="Times New Roman" w:eastAsia="黑体" w:cs="Times New Roman"/>
          <w:b/>
          <w:sz w:val="44"/>
          <w:szCs w:val="44"/>
        </w:rPr>
      </w:pPr>
    </w:p>
    <w:p>
      <w:pPr>
        <w:jc w:val="center"/>
        <w:rPr>
          <w:rFonts w:hint="default" w:ascii="Times New Roman" w:hAnsi="Times New Roman" w:eastAsia="黑体" w:cs="Times New Roman"/>
          <w:b/>
          <w:sz w:val="44"/>
          <w:szCs w:val="44"/>
        </w:rPr>
      </w:pPr>
    </w:p>
    <w:p>
      <w:pPr>
        <w:jc w:val="center"/>
        <w:rPr>
          <w:rFonts w:hint="default" w:ascii="Times New Roman" w:hAnsi="Times New Roman" w:eastAsia="黑体" w:cs="Times New Roman"/>
          <w:b/>
          <w:sz w:val="44"/>
          <w:szCs w:val="44"/>
        </w:rPr>
      </w:pPr>
    </w:p>
    <w:p>
      <w:pPr>
        <w:pStyle w:val="2"/>
        <w:rPr>
          <w:rFonts w:hint="default"/>
        </w:rPr>
      </w:pPr>
    </w:p>
    <w:p>
      <w:pPr>
        <w:jc w:val="center"/>
        <w:rPr>
          <w:rFonts w:hint="default" w:ascii="Times New Roman" w:hAnsi="Times New Roman" w:eastAsia="黑体" w:cs="Times New Roman"/>
          <w:b/>
          <w:sz w:val="44"/>
          <w:szCs w:val="44"/>
        </w:rPr>
      </w:pPr>
    </w:p>
    <w:p>
      <w:pPr>
        <w:jc w:val="center"/>
        <w:rPr>
          <w:rFonts w:hint="default" w:ascii="Times New Roman" w:hAnsi="Times New Roman" w:eastAsia="黑体" w:cs="Times New Roman"/>
          <w:b/>
          <w:sz w:val="44"/>
          <w:szCs w:val="44"/>
        </w:rPr>
      </w:pPr>
    </w:p>
    <w:p>
      <w:pPr>
        <w:pStyle w:val="2"/>
        <w:rPr>
          <w:rFonts w:hint="default"/>
        </w:rPr>
      </w:pPr>
    </w:p>
    <w:p>
      <w:pPr>
        <w:jc w:val="center"/>
        <w:rPr>
          <w:rFonts w:hint="default" w:ascii="Times New Roman" w:hAnsi="Times New Roman" w:eastAsia="黑体" w:cs="Times New Roman"/>
          <w:b/>
          <w:sz w:val="44"/>
          <w:szCs w:val="44"/>
        </w:rPr>
      </w:pPr>
    </w:p>
    <w:p>
      <w:pPr>
        <w:jc w:val="center"/>
        <w:rPr>
          <w:rFonts w:hint="default" w:ascii="Times New Roman" w:hAnsi="Times New Roman" w:eastAsia="黑体" w:cs="Times New Roman"/>
          <w:b/>
          <w:sz w:val="44"/>
          <w:szCs w:val="44"/>
        </w:rPr>
      </w:pPr>
    </w:p>
    <w:p>
      <w:pPr>
        <w:jc w:val="center"/>
        <w:rPr>
          <w:rFonts w:hint="default" w:ascii="Times New Roman" w:hAnsi="Times New Roman" w:eastAsia="黑体" w:cs="Times New Roman"/>
          <w:b/>
          <w:sz w:val="44"/>
          <w:szCs w:val="44"/>
        </w:rPr>
      </w:pPr>
    </w:p>
    <w:p>
      <w:pPr>
        <w:pStyle w:val="2"/>
        <w:rPr>
          <w:rFonts w:hint="default" w:ascii="Times New Roman" w:hAnsi="Times New Roman" w:eastAsia="黑体" w:cs="Times New Roman"/>
          <w:b/>
          <w:sz w:val="44"/>
          <w:szCs w:val="44"/>
        </w:rPr>
      </w:pPr>
    </w:p>
    <w:p>
      <w:pPr>
        <w:pStyle w:val="2"/>
        <w:rPr>
          <w:rFonts w:hint="default" w:ascii="Times New Roman" w:hAnsi="Times New Roman" w:eastAsia="黑体" w:cs="Times New Roman"/>
          <w:b/>
          <w:sz w:val="44"/>
          <w:szCs w:val="44"/>
        </w:rPr>
      </w:pPr>
    </w:p>
    <w:p>
      <w:pPr>
        <w:jc w:val="center"/>
        <w:rPr>
          <w:rFonts w:hint="default" w:ascii="Times New Roman" w:hAnsi="Times New Roman" w:eastAsia="黑体" w:cs="Times New Roman"/>
          <w:b/>
          <w:sz w:val="44"/>
          <w:szCs w:val="44"/>
        </w:rPr>
      </w:pPr>
    </w:p>
    <w:p>
      <w:pPr>
        <w:ind w:firstLine="677" w:firstLineChars="91"/>
        <w:jc w:val="center"/>
        <w:rPr>
          <w:rFonts w:hint="default" w:ascii="Times New Roman" w:hAnsi="Times New Roman" w:eastAsia="黑体" w:cs="Times New Roman"/>
          <w:spacing w:val="172"/>
          <w:sz w:val="40"/>
          <w:szCs w:val="40"/>
        </w:rPr>
      </w:pPr>
      <w:r>
        <w:rPr>
          <w:rFonts w:hint="default" w:ascii="Times New Roman" w:hAnsi="Times New Roman" w:eastAsia="黑体" w:cs="Times New Roman"/>
          <w:spacing w:val="172"/>
          <w:sz w:val="40"/>
          <w:szCs w:val="40"/>
        </w:rPr>
        <w:t>郑州市水</w:t>
      </w:r>
      <w:r>
        <w:rPr>
          <w:rFonts w:hint="eastAsia" w:eastAsia="黑体" w:cs="Times New Roman"/>
          <w:spacing w:val="172"/>
          <w:sz w:val="40"/>
          <w:szCs w:val="40"/>
          <w:lang w:val="en-US" w:eastAsia="zh-CN"/>
        </w:rPr>
        <w:t>利</w:t>
      </w:r>
      <w:r>
        <w:rPr>
          <w:rFonts w:hint="default" w:ascii="Times New Roman" w:hAnsi="Times New Roman" w:eastAsia="黑体" w:cs="Times New Roman"/>
          <w:spacing w:val="172"/>
          <w:sz w:val="40"/>
          <w:szCs w:val="40"/>
        </w:rPr>
        <w:t>局</w:t>
      </w:r>
    </w:p>
    <w:p>
      <w:pPr>
        <w:jc w:val="center"/>
        <w:rPr>
          <w:rFonts w:hint="default" w:ascii="Times New Roman" w:hAnsi="Times New Roman" w:eastAsia="黑体" w:cs="Times New Roman"/>
          <w:b/>
          <w:spacing w:val="100"/>
          <w:sz w:val="44"/>
          <w:szCs w:val="44"/>
        </w:rPr>
      </w:pPr>
    </w:p>
    <w:p>
      <w:pPr>
        <w:spacing w:line="360" w:lineRule="auto"/>
        <w:ind w:firstLine="551" w:firstLineChars="196"/>
        <w:rPr>
          <w:rFonts w:hint="default" w:ascii="Times New Roman" w:hAnsi="Times New Roman" w:cs="Times New Roman"/>
          <w:b/>
          <w:sz w:val="28"/>
          <w:szCs w:val="28"/>
        </w:rPr>
        <w:sectPr>
          <w:headerReference r:id="rId3" w:type="default"/>
          <w:headerReference r:id="rId4" w:type="even"/>
          <w:footerReference r:id="rId5" w:type="even"/>
          <w:pgSz w:w="11906" w:h="16838"/>
          <w:pgMar w:top="1418" w:right="1247" w:bottom="1418" w:left="1247" w:header="851" w:footer="907" w:gutter="0"/>
          <w:pgBorders>
            <w:top w:val="none" w:sz="0" w:space="0"/>
            <w:left w:val="none" w:sz="0" w:space="0"/>
            <w:bottom w:val="none" w:sz="0" w:space="0"/>
            <w:right w:val="none" w:sz="0" w:space="0"/>
          </w:pgBorders>
          <w:pgNumType w:start="1"/>
          <w:cols w:space="425" w:num="1"/>
          <w:docGrid w:linePitch="312" w:charSpace="0"/>
        </w:sectPr>
      </w:pPr>
    </w:p>
    <w:p>
      <w:pPr>
        <w:spacing w:line="360" w:lineRule="auto"/>
        <w:ind w:firstLine="551" w:firstLineChars="196"/>
        <w:rPr>
          <w:rFonts w:hint="default" w:ascii="Times New Roman" w:hAnsi="Times New Roman" w:cs="Times New Roman"/>
          <w:b/>
          <w:sz w:val="28"/>
          <w:szCs w:val="28"/>
        </w:rPr>
      </w:pPr>
    </w:p>
    <w:p>
      <w:pPr>
        <w:spacing w:line="360" w:lineRule="auto"/>
        <w:ind w:firstLine="551" w:firstLineChars="196"/>
        <w:rPr>
          <w:rFonts w:hint="default" w:ascii="Times New Roman" w:hAnsi="Times New Roman" w:cs="Times New Roman"/>
          <w:b/>
          <w:sz w:val="28"/>
          <w:szCs w:val="22"/>
        </w:rPr>
      </w:pPr>
    </w:p>
    <w:p>
      <w:pPr>
        <w:ind w:right="50" w:rightChars="24"/>
        <w:jc w:val="center"/>
        <w:rPr>
          <w:rFonts w:hint="eastAsia" w:ascii="微软雅黑" w:hAnsi="微软雅黑" w:eastAsia="微软雅黑" w:cs="微软雅黑"/>
          <w:b w:val="0"/>
          <w:bCs/>
          <w:sz w:val="48"/>
          <w:szCs w:val="24"/>
        </w:rPr>
      </w:pPr>
      <w:r>
        <w:rPr>
          <w:rFonts w:hint="eastAsia" w:ascii="微软雅黑" w:hAnsi="微软雅黑" w:eastAsia="微软雅黑" w:cs="微软雅黑"/>
          <w:b w:val="0"/>
          <w:bCs/>
          <w:sz w:val="48"/>
          <w:szCs w:val="24"/>
        </w:rPr>
        <w:t>郑州市水资源公报</w:t>
      </w:r>
    </w:p>
    <w:p>
      <w:pPr>
        <w:spacing w:line="360" w:lineRule="auto"/>
        <w:jc w:val="center"/>
        <w:rPr>
          <w:rFonts w:hint="eastAsia" w:ascii="微软雅黑" w:hAnsi="微软雅黑" w:eastAsia="微软雅黑" w:cs="微软雅黑"/>
          <w:b w:val="0"/>
          <w:bCs/>
          <w:sz w:val="36"/>
        </w:rPr>
      </w:pPr>
      <w:r>
        <w:rPr>
          <w:rFonts w:hint="eastAsia" w:ascii="微软雅黑" w:hAnsi="微软雅黑" w:eastAsia="微软雅黑" w:cs="微软雅黑"/>
          <w:b w:val="0"/>
          <w:bCs/>
          <w:sz w:val="36"/>
          <w:lang w:eastAsia="zh-CN"/>
        </w:rPr>
        <w:t>2018</w:t>
      </w:r>
      <w:r>
        <w:rPr>
          <w:rFonts w:hint="eastAsia" w:ascii="微软雅黑" w:hAnsi="微软雅黑" w:eastAsia="微软雅黑" w:cs="微软雅黑"/>
          <w:b w:val="0"/>
          <w:bCs/>
          <w:sz w:val="36"/>
        </w:rPr>
        <w:t>年</w:t>
      </w:r>
    </w:p>
    <w:p>
      <w:pPr>
        <w:pStyle w:val="39"/>
        <w:spacing w:line="360" w:lineRule="auto"/>
        <w:rPr>
          <w:rFonts w:hint="default" w:ascii="Times New Roman" w:hAnsi="Times New Roman" w:eastAsia="Times New Roman" w:cs="Times New Roman"/>
          <w:b/>
          <w:kern w:val="2"/>
          <w:sz w:val="36"/>
        </w:rPr>
      </w:pPr>
    </w:p>
    <w:p>
      <w:pPr>
        <w:pStyle w:val="54"/>
        <w:spacing w:line="360" w:lineRule="auto"/>
        <w:jc w:val="left"/>
        <w:rPr>
          <w:rFonts w:hint="eastAsia" w:ascii="微软雅黑" w:hAnsi="微软雅黑" w:eastAsia="微软雅黑" w:cs="微软雅黑"/>
          <w:bCs/>
          <w:sz w:val="32"/>
          <w:szCs w:val="36"/>
        </w:rPr>
      </w:pPr>
      <w:r>
        <w:rPr>
          <w:rFonts w:hint="eastAsia" w:ascii="微软雅黑" w:hAnsi="微软雅黑" w:eastAsia="微软雅黑" w:cs="微软雅黑"/>
          <w:bCs/>
          <w:sz w:val="32"/>
          <w:szCs w:val="36"/>
        </w:rPr>
        <w:t>审    定：张胜利  席献军</w:t>
      </w:r>
    </w:p>
    <w:p>
      <w:pPr>
        <w:pStyle w:val="54"/>
        <w:spacing w:line="360" w:lineRule="auto"/>
        <w:jc w:val="left"/>
        <w:rPr>
          <w:rFonts w:hint="eastAsia" w:ascii="微软雅黑" w:hAnsi="微软雅黑" w:eastAsia="微软雅黑" w:cs="微软雅黑"/>
          <w:bCs/>
          <w:sz w:val="32"/>
          <w:szCs w:val="36"/>
        </w:rPr>
      </w:pPr>
      <w:r>
        <w:rPr>
          <w:rFonts w:hint="eastAsia" w:ascii="微软雅黑" w:hAnsi="微软雅黑" w:eastAsia="微软雅黑" w:cs="微软雅黑"/>
          <w:bCs/>
          <w:sz w:val="32"/>
          <w:szCs w:val="36"/>
        </w:rPr>
        <w:t>主    审：刘玉钊  苗红雄</w:t>
      </w:r>
    </w:p>
    <w:p>
      <w:pPr>
        <w:pStyle w:val="54"/>
        <w:spacing w:line="360" w:lineRule="auto"/>
        <w:jc w:val="left"/>
        <w:rPr>
          <w:rFonts w:hint="eastAsia" w:ascii="微软雅黑" w:hAnsi="微软雅黑" w:eastAsia="微软雅黑" w:cs="微软雅黑"/>
          <w:bCs/>
          <w:sz w:val="32"/>
          <w:szCs w:val="36"/>
        </w:rPr>
      </w:pPr>
      <w:r>
        <w:rPr>
          <w:rFonts w:hint="eastAsia" w:ascii="微软雅黑" w:hAnsi="微软雅黑" w:eastAsia="微软雅黑" w:cs="微软雅黑"/>
          <w:bCs/>
          <w:sz w:val="32"/>
          <w:szCs w:val="36"/>
        </w:rPr>
        <w:t>审    核：乔海平</w:t>
      </w:r>
    </w:p>
    <w:p>
      <w:pPr>
        <w:pStyle w:val="54"/>
        <w:spacing w:line="360" w:lineRule="auto"/>
        <w:jc w:val="left"/>
        <w:rPr>
          <w:rFonts w:hint="default" w:ascii="微软雅黑" w:hAnsi="微软雅黑" w:eastAsia="微软雅黑" w:cs="微软雅黑"/>
          <w:bCs/>
          <w:sz w:val="32"/>
          <w:szCs w:val="36"/>
          <w:lang w:val="en-US" w:eastAsia="zh-CN"/>
        </w:rPr>
      </w:pPr>
      <w:r>
        <w:rPr>
          <w:rFonts w:hint="eastAsia" w:ascii="微软雅黑" w:hAnsi="微软雅黑" w:eastAsia="微软雅黑" w:cs="微软雅黑"/>
          <w:bCs/>
          <w:sz w:val="32"/>
          <w:szCs w:val="36"/>
        </w:rPr>
        <w:t>编    写：</w:t>
      </w:r>
      <w:r>
        <w:rPr>
          <w:rFonts w:hint="eastAsia" w:ascii="微软雅黑" w:hAnsi="微软雅黑" w:eastAsia="微软雅黑" w:cs="微软雅黑"/>
          <w:bCs/>
          <w:sz w:val="32"/>
          <w:szCs w:val="36"/>
          <w:lang w:val="en-US" w:eastAsia="zh-CN"/>
        </w:rPr>
        <w:t>王  闯  孟春丽  李雪丽  陈  峰  宋  磊</w:t>
      </w:r>
    </w:p>
    <w:p>
      <w:pPr>
        <w:pStyle w:val="54"/>
        <w:spacing w:line="360" w:lineRule="auto"/>
        <w:ind w:left="0" w:leftChars="0" w:firstLine="0" w:firstLineChars="0"/>
        <w:jc w:val="both"/>
        <w:rPr>
          <w:rFonts w:hint="eastAsia" w:ascii="微软雅黑" w:hAnsi="微软雅黑" w:eastAsia="微软雅黑" w:cs="微软雅黑"/>
          <w:bCs/>
          <w:sz w:val="32"/>
          <w:szCs w:val="36"/>
          <w:lang w:val="en-US" w:eastAsia="zh-CN"/>
        </w:rPr>
      </w:pPr>
      <w:r>
        <w:rPr>
          <w:rFonts w:hint="eastAsia" w:ascii="微软雅黑" w:hAnsi="微软雅黑" w:eastAsia="微软雅黑" w:cs="微软雅黑"/>
          <w:bCs/>
          <w:sz w:val="32"/>
          <w:szCs w:val="36"/>
        </w:rPr>
        <w:t>参加人员：</w:t>
      </w:r>
      <w:r>
        <w:rPr>
          <w:rFonts w:hint="eastAsia" w:ascii="微软雅黑" w:hAnsi="微软雅黑" w:eastAsia="微软雅黑" w:cs="微软雅黑"/>
          <w:bCs/>
          <w:sz w:val="32"/>
          <w:szCs w:val="36"/>
          <w:lang w:val="en-US" w:eastAsia="zh-CN"/>
        </w:rPr>
        <w:t>陈淮颖  赵轩府  王瑜勣  张  允  丁华璞</w:t>
      </w:r>
    </w:p>
    <w:p>
      <w:pPr>
        <w:pStyle w:val="54"/>
        <w:spacing w:line="360" w:lineRule="auto"/>
        <w:ind w:left="0" w:leftChars="0" w:firstLine="1600" w:firstLineChars="500"/>
        <w:jc w:val="both"/>
        <w:rPr>
          <w:rFonts w:hint="eastAsia" w:ascii="微软雅黑" w:hAnsi="微软雅黑" w:eastAsia="微软雅黑" w:cs="微软雅黑"/>
          <w:bCs/>
          <w:sz w:val="32"/>
          <w:szCs w:val="36"/>
          <w:lang w:val="en-US" w:eastAsia="zh-CN"/>
        </w:rPr>
      </w:pPr>
      <w:r>
        <w:rPr>
          <w:rFonts w:hint="eastAsia" w:ascii="微软雅黑" w:hAnsi="微软雅黑" w:eastAsia="微软雅黑" w:cs="微软雅黑"/>
          <w:bCs/>
          <w:sz w:val="32"/>
          <w:szCs w:val="36"/>
          <w:lang w:val="en-US" w:eastAsia="zh-CN"/>
        </w:rPr>
        <w:t>李晓光  孙元杰  翟延龙  鲁  琳  张俊辉</w:t>
      </w:r>
    </w:p>
    <w:p>
      <w:pPr>
        <w:pStyle w:val="54"/>
        <w:spacing w:line="360" w:lineRule="auto"/>
        <w:ind w:left="0" w:leftChars="0" w:firstLine="1600" w:firstLineChars="500"/>
        <w:jc w:val="both"/>
        <w:rPr>
          <w:rFonts w:hint="default" w:ascii="微软雅黑" w:hAnsi="微软雅黑" w:eastAsia="微软雅黑" w:cs="微软雅黑"/>
          <w:bCs/>
          <w:sz w:val="32"/>
          <w:szCs w:val="36"/>
          <w:lang w:val="en-US" w:eastAsia="zh-CN"/>
        </w:rPr>
      </w:pPr>
      <w:r>
        <w:rPr>
          <w:rFonts w:hint="eastAsia" w:ascii="微软雅黑" w:hAnsi="微软雅黑" w:eastAsia="微软雅黑" w:cs="微软雅黑"/>
          <w:bCs/>
          <w:sz w:val="32"/>
          <w:szCs w:val="36"/>
          <w:lang w:val="en-US" w:eastAsia="zh-CN"/>
        </w:rPr>
        <w:t>张富林  常春光</w:t>
      </w:r>
    </w:p>
    <w:p>
      <w:pPr>
        <w:pStyle w:val="2"/>
        <w:rPr>
          <w:rFonts w:hint="default" w:ascii="Times New Roman" w:hAnsi="Times New Roman" w:eastAsia="仿宋_GB2312" w:cs="Times New Roman"/>
          <w:kern w:val="0"/>
          <w:sz w:val="32"/>
          <w:szCs w:val="36"/>
        </w:rPr>
      </w:pPr>
    </w:p>
    <w:p>
      <w:pPr>
        <w:pStyle w:val="2"/>
        <w:rPr>
          <w:rFonts w:hint="default" w:ascii="Times New Roman" w:hAnsi="Times New Roman" w:eastAsia="仿宋_GB2312" w:cs="Times New Roman"/>
          <w:kern w:val="0"/>
          <w:sz w:val="32"/>
          <w:szCs w:val="36"/>
        </w:rPr>
      </w:pPr>
      <w:bookmarkStart w:id="42" w:name="_GoBack"/>
      <w:bookmarkEnd w:id="42"/>
    </w:p>
    <w:p>
      <w:pPr>
        <w:pStyle w:val="2"/>
        <w:rPr>
          <w:rFonts w:hint="default" w:ascii="Times New Roman" w:hAnsi="Times New Roman" w:eastAsia="仿宋_GB2312" w:cs="Times New Roman"/>
          <w:kern w:val="0"/>
          <w:sz w:val="32"/>
          <w:szCs w:val="36"/>
        </w:rPr>
      </w:pPr>
    </w:p>
    <w:p>
      <w:pPr>
        <w:pStyle w:val="2"/>
        <w:rPr>
          <w:rFonts w:hint="default" w:ascii="Times New Roman" w:hAnsi="Times New Roman" w:eastAsia="仿宋_GB2312" w:cs="Times New Roman"/>
          <w:kern w:val="0"/>
          <w:sz w:val="32"/>
          <w:szCs w:val="36"/>
        </w:rPr>
      </w:pPr>
    </w:p>
    <w:p>
      <w:pPr>
        <w:pStyle w:val="2"/>
        <w:rPr>
          <w:rFonts w:hint="default" w:ascii="Times New Roman" w:hAnsi="Times New Roman" w:eastAsia="仿宋_GB2312" w:cs="Times New Roman"/>
          <w:kern w:val="0"/>
          <w:sz w:val="32"/>
          <w:szCs w:val="36"/>
        </w:rPr>
      </w:pPr>
    </w:p>
    <w:p>
      <w:pPr>
        <w:spacing w:line="360" w:lineRule="auto"/>
        <w:ind w:firstLine="320" w:firstLineChars="100"/>
        <w:jc w:val="left"/>
        <w:rPr>
          <w:rFonts w:hint="default" w:ascii="Times New Roman" w:hAnsi="Times New Roman" w:eastAsia="仿宋_GB2312" w:cs="Times New Roman"/>
          <w:kern w:val="0"/>
          <w:sz w:val="32"/>
          <w:szCs w:val="36"/>
        </w:rPr>
      </w:pPr>
    </w:p>
    <w:p>
      <w:pPr>
        <w:spacing w:line="360" w:lineRule="auto"/>
        <w:ind w:firstLine="320" w:firstLineChars="100"/>
        <w:jc w:val="left"/>
        <w:rPr>
          <w:rFonts w:hint="eastAsia" w:ascii="微软雅黑" w:hAnsi="微软雅黑" w:eastAsia="微软雅黑" w:cs="微软雅黑"/>
          <w:bCs/>
          <w:kern w:val="0"/>
          <w:sz w:val="32"/>
          <w:szCs w:val="36"/>
        </w:rPr>
      </w:pPr>
      <w:r>
        <w:rPr>
          <w:rFonts w:hint="eastAsia" w:ascii="微软雅黑" w:hAnsi="微软雅黑" w:eastAsia="微软雅黑" w:cs="微软雅黑"/>
          <w:bCs/>
          <w:kern w:val="0"/>
          <w:sz w:val="32"/>
          <w:szCs w:val="36"/>
        </w:rPr>
        <w:t>发布单位：郑州市水</w:t>
      </w:r>
      <w:r>
        <w:rPr>
          <w:rFonts w:hint="eastAsia" w:ascii="微软雅黑" w:hAnsi="微软雅黑" w:eastAsia="微软雅黑" w:cs="微软雅黑"/>
          <w:bCs/>
          <w:kern w:val="0"/>
          <w:sz w:val="32"/>
          <w:szCs w:val="36"/>
          <w:lang w:val="en-US" w:eastAsia="zh-CN"/>
        </w:rPr>
        <w:t>利</w:t>
      </w:r>
      <w:r>
        <w:rPr>
          <w:rFonts w:hint="eastAsia" w:ascii="微软雅黑" w:hAnsi="微软雅黑" w:eastAsia="微软雅黑" w:cs="微软雅黑"/>
          <w:bCs/>
          <w:kern w:val="0"/>
          <w:sz w:val="32"/>
          <w:szCs w:val="36"/>
        </w:rPr>
        <w:t>局</w:t>
      </w:r>
    </w:p>
    <w:p>
      <w:pPr>
        <w:spacing w:line="360" w:lineRule="auto"/>
        <w:ind w:firstLine="360" w:firstLineChars="100"/>
        <w:jc w:val="left"/>
        <w:rPr>
          <w:rFonts w:hint="default" w:ascii="Times New Roman" w:hAnsi="Times New Roman" w:eastAsia="仿宋_GB2312" w:cs="Times New Roman"/>
          <w:kern w:val="0"/>
          <w:sz w:val="36"/>
          <w:szCs w:val="36"/>
        </w:rPr>
        <w:sectPr>
          <w:pgSz w:w="11907" w:h="16840"/>
          <w:pgMar w:top="1440" w:right="1797" w:bottom="1440" w:left="1797" w:header="720" w:footer="720"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仿宋_GB2312" w:cs="Times New Roman"/>
          <w:kern w:val="0"/>
          <w:sz w:val="36"/>
          <w:szCs w:val="36"/>
        </w:rPr>
        <w:t xml:space="preserve"> </w:t>
      </w:r>
    </w:p>
    <w:p>
      <w:pPr>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目    录</w:t>
      </w:r>
    </w:p>
    <w:p>
      <w:pPr>
        <w:jc w:val="center"/>
        <w:rPr>
          <w:rFonts w:hint="default" w:ascii="Times New Roman" w:hAnsi="Times New Roman" w:cs="Times New Roman"/>
        </w:rPr>
      </w:pPr>
    </w:p>
    <w:p>
      <w:pPr>
        <w:pStyle w:val="15"/>
        <w:tabs>
          <w:tab w:val="right" w:leader="dot" w:pos="9412"/>
          <w:tab w:val="clear" w:pos="9402"/>
        </w:tabs>
      </w:pPr>
      <w:r>
        <w:rPr>
          <w:rFonts w:hint="default" w:ascii="Times New Roman" w:hAnsi="Times New Roman" w:cs="Times New Roman"/>
          <w:sz w:val="44"/>
          <w:szCs w:val="44"/>
        </w:rPr>
        <w:fldChar w:fldCharType="begin"/>
      </w:r>
      <w:r>
        <w:rPr>
          <w:rFonts w:hint="default" w:ascii="Times New Roman" w:hAnsi="Times New Roman" w:cs="Times New Roman"/>
          <w:sz w:val="44"/>
          <w:szCs w:val="44"/>
        </w:rPr>
        <w:instrText xml:space="preserve"> TOC \o "1-3" \h \z \u </w:instrText>
      </w:r>
      <w:r>
        <w:rPr>
          <w:rFonts w:hint="default" w:ascii="Times New Roman" w:hAnsi="Times New Roman" w:cs="Times New Roman"/>
          <w:sz w:val="44"/>
          <w:szCs w:val="44"/>
        </w:rPr>
        <w:fldChar w:fldCharType="separate"/>
      </w:r>
      <w:r>
        <w:rPr>
          <w:rFonts w:hint="default" w:ascii="Times New Roman" w:hAnsi="Times New Roman" w:cs="Times New Roman"/>
          <w:szCs w:val="44"/>
        </w:rPr>
        <w:fldChar w:fldCharType="begin"/>
      </w:r>
      <w:r>
        <w:rPr>
          <w:rFonts w:hint="default" w:ascii="Times New Roman" w:hAnsi="Times New Roman" w:cs="Times New Roman"/>
          <w:szCs w:val="44"/>
        </w:rPr>
        <w:instrText xml:space="preserve"> HYPERLINK \l _Toc24714 </w:instrText>
      </w:r>
      <w:r>
        <w:rPr>
          <w:rFonts w:hint="default" w:ascii="Times New Roman" w:hAnsi="Times New Roman" w:cs="Times New Roman"/>
          <w:szCs w:val="44"/>
        </w:rPr>
        <w:fldChar w:fldCharType="separate"/>
      </w:r>
      <w:r>
        <w:rPr>
          <w:rFonts w:hint="default" w:ascii="Times New Roman" w:hAnsi="Times New Roman" w:eastAsia="黑体" w:cs="Times New Roman"/>
        </w:rPr>
        <w:t>1 综    述</w:t>
      </w:r>
      <w:r>
        <w:tab/>
      </w:r>
      <w:r>
        <w:fldChar w:fldCharType="begin"/>
      </w:r>
      <w:r>
        <w:instrText xml:space="preserve"> PAGEREF _Toc24714 </w:instrText>
      </w:r>
      <w:r>
        <w:fldChar w:fldCharType="separate"/>
      </w:r>
      <w:r>
        <w:t>1</w:t>
      </w:r>
      <w:r>
        <w:fldChar w:fldCharType="end"/>
      </w:r>
      <w:r>
        <w:rPr>
          <w:rFonts w:hint="default" w:ascii="Times New Roman" w:hAnsi="Times New Roman" w:cs="Times New Roman"/>
          <w:szCs w:val="44"/>
        </w:rPr>
        <w:fldChar w:fldCharType="end"/>
      </w:r>
    </w:p>
    <w:p>
      <w:pPr>
        <w:pStyle w:val="15"/>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_Toc9113 </w:instrText>
      </w:r>
      <w:r>
        <w:rPr>
          <w:rFonts w:hint="default" w:ascii="Times New Roman" w:hAnsi="Times New Roman" w:cs="Times New Roman"/>
        </w:rPr>
        <w:fldChar w:fldCharType="separate"/>
      </w:r>
      <w:r>
        <w:rPr>
          <w:rFonts w:hint="default" w:ascii="Times New Roman" w:hAnsi="Times New Roman" w:eastAsia="黑体" w:cs="Times New Roman"/>
        </w:rPr>
        <w:t>2 水资源量</w:t>
      </w:r>
      <w:r>
        <w:tab/>
      </w:r>
      <w:r>
        <w:fldChar w:fldCharType="begin"/>
      </w:r>
      <w:r>
        <w:instrText xml:space="preserve"> PAGEREF _Toc9113 </w:instrText>
      </w:r>
      <w:r>
        <w:fldChar w:fldCharType="separate"/>
      </w:r>
      <w:r>
        <w:t>3</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_Toc8086 </w:instrText>
      </w:r>
      <w:r>
        <w:rPr>
          <w:rFonts w:hint="default" w:ascii="Times New Roman" w:hAnsi="Times New Roman" w:cs="Times New Roman"/>
        </w:rPr>
        <w:fldChar w:fldCharType="separate"/>
      </w:r>
      <w:r>
        <w:rPr>
          <w:rFonts w:hint="default" w:ascii="Times New Roman" w:hAnsi="Times New Roman" w:cs="Times New Roman"/>
        </w:rPr>
        <w:t>2.1 降水量</w:t>
      </w:r>
      <w:r>
        <w:tab/>
      </w:r>
      <w:r>
        <w:fldChar w:fldCharType="begin"/>
      </w:r>
      <w:r>
        <w:instrText xml:space="preserve"> PAGEREF _Toc8086 </w:instrText>
      </w:r>
      <w:r>
        <w:fldChar w:fldCharType="separate"/>
      </w:r>
      <w:r>
        <w:t>3</w:t>
      </w:r>
      <w:r>
        <w:fldChar w:fldCharType="end"/>
      </w:r>
      <w:r>
        <w:rPr>
          <w:rFonts w:hint="default" w:ascii="Times New Roman" w:hAnsi="Times New Roman" w:cs="Times New Roman"/>
        </w:rPr>
        <w:fldChar w:fldCharType="end"/>
      </w:r>
    </w:p>
    <w:p>
      <w:pPr>
        <w:pStyle w:val="11"/>
        <w:tabs>
          <w:tab w:val="right" w:leader="dot" w:pos="941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_Toc23121 </w:instrText>
      </w:r>
      <w:r>
        <w:rPr>
          <w:rFonts w:hint="default" w:ascii="Times New Roman" w:hAnsi="Times New Roman" w:cs="Times New Roman"/>
        </w:rPr>
        <w:fldChar w:fldCharType="separate"/>
      </w:r>
      <w:r>
        <w:rPr>
          <w:rFonts w:hint="default" w:ascii="Times New Roman" w:hAnsi="Times New Roman" w:eastAsia="仿宋" w:cs="Times New Roman"/>
        </w:rPr>
        <w:t>2.1.1 降水量的年内分配</w:t>
      </w:r>
      <w:r>
        <w:tab/>
      </w:r>
      <w:r>
        <w:fldChar w:fldCharType="begin"/>
      </w:r>
      <w:r>
        <w:instrText xml:space="preserve"> PAGEREF _Toc23121 </w:instrText>
      </w:r>
      <w:r>
        <w:fldChar w:fldCharType="separate"/>
      </w:r>
      <w:r>
        <w:t>3</w:t>
      </w:r>
      <w:r>
        <w:fldChar w:fldCharType="end"/>
      </w:r>
      <w:r>
        <w:rPr>
          <w:rFonts w:hint="default" w:ascii="Times New Roman" w:hAnsi="Times New Roman" w:cs="Times New Roman"/>
        </w:rPr>
        <w:fldChar w:fldCharType="end"/>
      </w:r>
    </w:p>
    <w:p>
      <w:pPr>
        <w:pStyle w:val="11"/>
        <w:tabs>
          <w:tab w:val="right" w:leader="dot" w:pos="941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_Toc25466 </w:instrText>
      </w:r>
      <w:r>
        <w:rPr>
          <w:rFonts w:hint="default" w:ascii="Times New Roman" w:hAnsi="Times New Roman" w:cs="Times New Roman"/>
        </w:rPr>
        <w:fldChar w:fldCharType="separate"/>
      </w:r>
      <w:r>
        <w:rPr>
          <w:rFonts w:hint="default" w:ascii="Times New Roman" w:hAnsi="Times New Roman" w:eastAsia="仿宋" w:cs="Times New Roman"/>
        </w:rPr>
        <w:t>2.1.2 降水量的空间分布</w:t>
      </w:r>
      <w:r>
        <w:tab/>
      </w:r>
      <w:r>
        <w:fldChar w:fldCharType="begin"/>
      </w:r>
      <w:r>
        <w:instrText xml:space="preserve"> PAGEREF _Toc25466 </w:instrText>
      </w:r>
      <w:r>
        <w:fldChar w:fldCharType="separate"/>
      </w:r>
      <w:r>
        <w:t>4</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_Toc2981 </w:instrText>
      </w:r>
      <w:r>
        <w:rPr>
          <w:rFonts w:hint="default" w:ascii="Times New Roman" w:hAnsi="Times New Roman" w:cs="Times New Roman"/>
        </w:rPr>
        <w:fldChar w:fldCharType="separate"/>
      </w:r>
      <w:r>
        <w:rPr>
          <w:rFonts w:hint="default" w:ascii="Times New Roman" w:hAnsi="Times New Roman" w:cs="Times New Roman"/>
        </w:rPr>
        <w:t>2.2 地表水资源</w:t>
      </w:r>
      <w:r>
        <w:tab/>
      </w:r>
      <w:r>
        <w:fldChar w:fldCharType="begin"/>
      </w:r>
      <w:r>
        <w:instrText xml:space="preserve"> PAGEREF _Toc2981 </w:instrText>
      </w:r>
      <w:r>
        <w:fldChar w:fldCharType="separate"/>
      </w:r>
      <w:r>
        <w:t>4</w:t>
      </w:r>
      <w:r>
        <w:fldChar w:fldCharType="end"/>
      </w:r>
      <w:r>
        <w:rPr>
          <w:rFonts w:hint="default" w:ascii="Times New Roman" w:hAnsi="Times New Roman" w:cs="Times New Roman"/>
        </w:rPr>
        <w:fldChar w:fldCharType="end"/>
      </w:r>
    </w:p>
    <w:p>
      <w:pPr>
        <w:pStyle w:val="11"/>
        <w:tabs>
          <w:tab w:val="right" w:leader="dot" w:pos="941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_Toc14621 </w:instrText>
      </w:r>
      <w:r>
        <w:rPr>
          <w:rFonts w:hint="default" w:ascii="Times New Roman" w:hAnsi="Times New Roman" w:cs="Times New Roman"/>
        </w:rPr>
        <w:fldChar w:fldCharType="separate"/>
      </w:r>
      <w:r>
        <w:rPr>
          <w:rFonts w:hint="default" w:ascii="Times New Roman" w:hAnsi="Times New Roman" w:eastAsia="仿宋" w:cs="Times New Roman"/>
        </w:rPr>
        <w:t>2.2.1 地表水资源的分布</w:t>
      </w:r>
      <w:r>
        <w:tab/>
      </w:r>
      <w:r>
        <w:fldChar w:fldCharType="begin"/>
      </w:r>
      <w:r>
        <w:instrText xml:space="preserve"> PAGEREF _Toc14621 </w:instrText>
      </w:r>
      <w:r>
        <w:fldChar w:fldCharType="separate"/>
      </w:r>
      <w:r>
        <w:t>6</w:t>
      </w:r>
      <w:r>
        <w:fldChar w:fldCharType="end"/>
      </w:r>
      <w:r>
        <w:rPr>
          <w:rFonts w:hint="default" w:ascii="Times New Roman" w:hAnsi="Times New Roman" w:cs="Times New Roman"/>
        </w:rPr>
        <w:fldChar w:fldCharType="end"/>
      </w:r>
    </w:p>
    <w:p>
      <w:pPr>
        <w:pStyle w:val="11"/>
        <w:tabs>
          <w:tab w:val="right" w:leader="dot" w:pos="941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_Toc11257 </w:instrText>
      </w:r>
      <w:r>
        <w:rPr>
          <w:rFonts w:hint="default" w:ascii="Times New Roman" w:hAnsi="Times New Roman" w:cs="Times New Roman"/>
        </w:rPr>
        <w:fldChar w:fldCharType="separate"/>
      </w:r>
      <w:r>
        <w:rPr>
          <w:rFonts w:hint="default" w:ascii="Times New Roman" w:hAnsi="Times New Roman" w:eastAsia="仿宋" w:cs="Times New Roman"/>
        </w:rPr>
        <w:t>2.2.2 实测和天然径流量及其变化</w:t>
      </w:r>
      <w:r>
        <w:tab/>
      </w:r>
      <w:r>
        <w:fldChar w:fldCharType="begin"/>
      </w:r>
      <w:r>
        <w:instrText xml:space="preserve"> PAGEREF _Toc11257 </w:instrText>
      </w:r>
      <w:r>
        <w:fldChar w:fldCharType="separate"/>
      </w:r>
      <w:r>
        <w:t>6</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_Toc23052 </w:instrText>
      </w:r>
      <w:r>
        <w:rPr>
          <w:rFonts w:hint="default" w:ascii="Times New Roman" w:hAnsi="Times New Roman" w:cs="Times New Roman"/>
        </w:rPr>
        <w:fldChar w:fldCharType="separate"/>
      </w:r>
      <w:r>
        <w:rPr>
          <w:rFonts w:hint="default" w:ascii="Times New Roman" w:hAnsi="Times New Roman" w:cs="Times New Roman"/>
        </w:rPr>
        <w:t>2.3 地下水资源</w:t>
      </w:r>
      <w:r>
        <w:tab/>
      </w:r>
      <w:r>
        <w:fldChar w:fldCharType="begin"/>
      </w:r>
      <w:r>
        <w:instrText xml:space="preserve"> PAGEREF _Toc23052 </w:instrText>
      </w:r>
      <w:r>
        <w:fldChar w:fldCharType="separate"/>
      </w:r>
      <w:r>
        <w:t>7</w:t>
      </w:r>
      <w:r>
        <w:fldChar w:fldCharType="end"/>
      </w:r>
      <w:r>
        <w:rPr>
          <w:rFonts w:hint="default" w:ascii="Times New Roman" w:hAnsi="Times New Roman" w:cs="Times New Roman"/>
        </w:rPr>
        <w:fldChar w:fldCharType="end"/>
      </w:r>
    </w:p>
    <w:p>
      <w:pPr>
        <w:pStyle w:val="11"/>
        <w:tabs>
          <w:tab w:val="right" w:leader="dot" w:pos="941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_Toc4754 </w:instrText>
      </w:r>
      <w:r>
        <w:rPr>
          <w:rFonts w:hint="default" w:ascii="Times New Roman" w:hAnsi="Times New Roman" w:cs="Times New Roman"/>
        </w:rPr>
        <w:fldChar w:fldCharType="separate"/>
      </w:r>
      <w:r>
        <w:rPr>
          <w:rFonts w:hint="default" w:ascii="Times New Roman" w:hAnsi="Times New Roman" w:eastAsia="仿宋" w:cs="Times New Roman"/>
        </w:rPr>
        <w:t>2.3.1 地下水资源量与补给量</w:t>
      </w:r>
      <w:r>
        <w:tab/>
      </w:r>
      <w:r>
        <w:fldChar w:fldCharType="begin"/>
      </w:r>
      <w:r>
        <w:instrText xml:space="preserve"> PAGEREF _Toc4754 </w:instrText>
      </w:r>
      <w:r>
        <w:fldChar w:fldCharType="separate"/>
      </w:r>
      <w:r>
        <w:t>7</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_Toc23733 </w:instrText>
      </w:r>
      <w:r>
        <w:rPr>
          <w:rFonts w:hint="default" w:ascii="Times New Roman" w:hAnsi="Times New Roman" w:cs="Times New Roman"/>
        </w:rPr>
        <w:fldChar w:fldCharType="separate"/>
      </w:r>
      <w:r>
        <w:rPr>
          <w:rFonts w:hint="default" w:ascii="Times New Roman" w:hAnsi="Times New Roman" w:cs="Times New Roman"/>
        </w:rPr>
        <w:t>2.4 水资源总量</w:t>
      </w:r>
      <w:r>
        <w:tab/>
      </w:r>
      <w:r>
        <w:fldChar w:fldCharType="begin"/>
      </w:r>
      <w:r>
        <w:instrText xml:space="preserve"> PAGEREF _Toc23733 </w:instrText>
      </w:r>
      <w:r>
        <w:fldChar w:fldCharType="separate"/>
      </w:r>
      <w:r>
        <w:t>9</w:t>
      </w:r>
      <w:r>
        <w:fldChar w:fldCharType="end"/>
      </w:r>
      <w:r>
        <w:rPr>
          <w:rFonts w:hint="default" w:ascii="Times New Roman" w:hAnsi="Times New Roman" w:cs="Times New Roman"/>
        </w:rPr>
        <w:fldChar w:fldCharType="end"/>
      </w:r>
    </w:p>
    <w:p>
      <w:pPr>
        <w:pStyle w:val="15"/>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_Toc12123 </w:instrText>
      </w:r>
      <w:r>
        <w:rPr>
          <w:rFonts w:hint="default" w:ascii="Times New Roman" w:hAnsi="Times New Roman" w:cs="Times New Roman"/>
        </w:rPr>
        <w:fldChar w:fldCharType="separate"/>
      </w:r>
      <w:r>
        <w:rPr>
          <w:rFonts w:hint="default" w:ascii="Times New Roman" w:hAnsi="Times New Roman" w:eastAsia="黑体" w:cs="Times New Roman"/>
        </w:rPr>
        <w:t>3 蓄水动态</w:t>
      </w:r>
      <w:r>
        <w:tab/>
      </w:r>
      <w:r>
        <w:fldChar w:fldCharType="begin"/>
      </w:r>
      <w:r>
        <w:instrText xml:space="preserve"> PAGEREF _Toc12123 </w:instrText>
      </w:r>
      <w:r>
        <w:fldChar w:fldCharType="separate"/>
      </w:r>
      <w:r>
        <w:t>10</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_Toc16297 </w:instrText>
      </w:r>
      <w:r>
        <w:rPr>
          <w:rFonts w:hint="default" w:ascii="Times New Roman" w:hAnsi="Times New Roman" w:cs="Times New Roman"/>
        </w:rPr>
        <w:fldChar w:fldCharType="separate"/>
      </w:r>
      <w:r>
        <w:rPr>
          <w:rFonts w:hint="default" w:ascii="Times New Roman" w:hAnsi="Times New Roman" w:cs="Times New Roman"/>
        </w:rPr>
        <w:t>3.1 水库蓄水动态</w:t>
      </w:r>
      <w:r>
        <w:tab/>
      </w:r>
      <w:r>
        <w:fldChar w:fldCharType="begin"/>
      </w:r>
      <w:r>
        <w:instrText xml:space="preserve"> PAGEREF _Toc16297 </w:instrText>
      </w:r>
      <w:r>
        <w:fldChar w:fldCharType="separate"/>
      </w:r>
      <w:r>
        <w:t>10</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_Toc25519 </w:instrText>
      </w:r>
      <w:r>
        <w:rPr>
          <w:rFonts w:hint="default" w:ascii="Times New Roman" w:hAnsi="Times New Roman" w:cs="Times New Roman"/>
        </w:rPr>
        <w:fldChar w:fldCharType="separate"/>
      </w:r>
      <w:r>
        <w:rPr>
          <w:rFonts w:hint="default" w:ascii="Times New Roman" w:hAnsi="Times New Roman" w:cs="Times New Roman"/>
        </w:rPr>
        <w:t xml:space="preserve">3.2 </w:t>
      </w:r>
      <w:r>
        <w:rPr>
          <w:rFonts w:hint="eastAsia" w:ascii="Times New Roman" w:hAnsi="Times New Roman" w:cs="Times New Roman"/>
          <w:lang w:val="en-US" w:eastAsia="zh-CN"/>
        </w:rPr>
        <w:t>浅层</w:t>
      </w:r>
      <w:r>
        <w:rPr>
          <w:rFonts w:hint="default" w:ascii="Times New Roman" w:hAnsi="Times New Roman" w:cs="Times New Roman"/>
        </w:rPr>
        <w:t>地下水动态变化</w:t>
      </w:r>
      <w:r>
        <w:tab/>
      </w:r>
      <w:r>
        <w:fldChar w:fldCharType="begin"/>
      </w:r>
      <w:r>
        <w:instrText xml:space="preserve"> PAGEREF _Toc25519 </w:instrText>
      </w:r>
      <w:r>
        <w:fldChar w:fldCharType="separate"/>
      </w:r>
      <w:r>
        <w:t>11</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_Toc28601 </w:instrText>
      </w:r>
      <w:r>
        <w:rPr>
          <w:rFonts w:hint="default" w:ascii="Times New Roman" w:hAnsi="Times New Roman" w:cs="Times New Roman"/>
        </w:rPr>
        <w:fldChar w:fldCharType="separate"/>
      </w:r>
      <w:r>
        <w:rPr>
          <w:rFonts w:hint="default" w:ascii="Times New Roman" w:hAnsi="Times New Roman" w:cs="Times New Roman"/>
        </w:rPr>
        <w:t>3.3 平原区浅层地下水埋深情况</w:t>
      </w:r>
      <w:r>
        <w:tab/>
      </w:r>
      <w:r>
        <w:fldChar w:fldCharType="begin"/>
      </w:r>
      <w:r>
        <w:instrText xml:space="preserve"> PAGEREF _Toc28601 </w:instrText>
      </w:r>
      <w:r>
        <w:fldChar w:fldCharType="separate"/>
      </w:r>
      <w:r>
        <w:t>11</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_Toc15989 </w:instrText>
      </w:r>
      <w:r>
        <w:rPr>
          <w:rFonts w:hint="default" w:ascii="Times New Roman" w:hAnsi="Times New Roman" w:cs="Times New Roman"/>
        </w:rPr>
        <w:fldChar w:fldCharType="separate"/>
      </w:r>
      <w:r>
        <w:rPr>
          <w:rFonts w:hint="default" w:ascii="Times New Roman" w:hAnsi="Times New Roman" w:cs="Times New Roman"/>
        </w:rPr>
        <w:t xml:space="preserve">3.3 </w:t>
      </w:r>
      <w:r>
        <w:rPr>
          <w:rFonts w:hint="eastAsia" w:ascii="Times New Roman" w:hAnsi="Times New Roman" w:cs="Times New Roman"/>
          <w:lang w:val="en-US" w:eastAsia="zh-CN"/>
        </w:rPr>
        <w:t>市域城市建成区</w:t>
      </w:r>
      <w:r>
        <w:rPr>
          <w:rFonts w:hint="default" w:ascii="Times New Roman" w:hAnsi="Times New Roman" w:cs="Times New Roman"/>
        </w:rPr>
        <w:t>地下水</w:t>
      </w:r>
      <w:r>
        <w:rPr>
          <w:rFonts w:hint="eastAsia" w:ascii="Times New Roman" w:hAnsi="Times New Roman" w:cs="Times New Roman"/>
          <w:lang w:val="en-US" w:eastAsia="zh-CN"/>
        </w:rPr>
        <w:t>动态</w:t>
      </w:r>
      <w:r>
        <w:tab/>
      </w:r>
      <w:r>
        <w:fldChar w:fldCharType="begin"/>
      </w:r>
      <w:r>
        <w:instrText xml:space="preserve"> PAGEREF _Toc15989 </w:instrText>
      </w:r>
      <w:r>
        <w:fldChar w:fldCharType="separate"/>
      </w:r>
      <w:r>
        <w:t>16</w:t>
      </w:r>
      <w:r>
        <w:fldChar w:fldCharType="end"/>
      </w:r>
      <w:r>
        <w:rPr>
          <w:rFonts w:hint="default" w:ascii="Times New Roman" w:hAnsi="Times New Roman" w:cs="Times New Roman"/>
        </w:rPr>
        <w:fldChar w:fldCharType="end"/>
      </w:r>
    </w:p>
    <w:p>
      <w:pPr>
        <w:pStyle w:val="15"/>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_Toc10280 </w:instrText>
      </w:r>
      <w:r>
        <w:rPr>
          <w:rFonts w:hint="default" w:ascii="Times New Roman" w:hAnsi="Times New Roman" w:cs="Times New Roman"/>
        </w:rPr>
        <w:fldChar w:fldCharType="separate"/>
      </w:r>
      <w:r>
        <w:rPr>
          <w:rFonts w:hint="default" w:ascii="Times New Roman" w:hAnsi="Times New Roman" w:eastAsia="黑体" w:cs="Times New Roman"/>
        </w:rPr>
        <w:t>4 水资源利用</w:t>
      </w:r>
      <w:r>
        <w:tab/>
      </w:r>
      <w:r>
        <w:fldChar w:fldCharType="begin"/>
      </w:r>
      <w:r>
        <w:instrText xml:space="preserve"> PAGEREF _Toc10280 </w:instrText>
      </w:r>
      <w:r>
        <w:fldChar w:fldCharType="separate"/>
      </w:r>
      <w:r>
        <w:t>23</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_Toc7695 </w:instrText>
      </w:r>
      <w:r>
        <w:rPr>
          <w:rFonts w:hint="default" w:ascii="Times New Roman" w:hAnsi="Times New Roman" w:cs="Times New Roman"/>
        </w:rPr>
        <w:fldChar w:fldCharType="separate"/>
      </w:r>
      <w:r>
        <w:rPr>
          <w:rFonts w:hint="default" w:ascii="Times New Roman" w:hAnsi="Times New Roman" w:cs="Times New Roman"/>
        </w:rPr>
        <w:t>4.1 供水量</w:t>
      </w:r>
      <w:r>
        <w:tab/>
      </w:r>
      <w:r>
        <w:fldChar w:fldCharType="begin"/>
      </w:r>
      <w:r>
        <w:instrText xml:space="preserve"> PAGEREF _Toc7695 </w:instrText>
      </w:r>
      <w:r>
        <w:fldChar w:fldCharType="separate"/>
      </w:r>
      <w:r>
        <w:t>23</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_Toc17738 </w:instrText>
      </w:r>
      <w:r>
        <w:rPr>
          <w:rFonts w:hint="default" w:ascii="Times New Roman" w:hAnsi="Times New Roman" w:cs="Times New Roman"/>
        </w:rPr>
        <w:fldChar w:fldCharType="separate"/>
      </w:r>
      <w:r>
        <w:rPr>
          <w:rFonts w:hint="default" w:ascii="Times New Roman" w:hAnsi="Times New Roman" w:cs="Times New Roman"/>
        </w:rPr>
        <w:t>4.2 用水量</w:t>
      </w:r>
      <w:r>
        <w:tab/>
      </w:r>
      <w:r>
        <w:fldChar w:fldCharType="begin"/>
      </w:r>
      <w:r>
        <w:instrText xml:space="preserve"> PAGEREF _Toc17738 </w:instrText>
      </w:r>
      <w:r>
        <w:fldChar w:fldCharType="separate"/>
      </w:r>
      <w:r>
        <w:t>24</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_Toc3829 </w:instrText>
      </w:r>
      <w:r>
        <w:rPr>
          <w:rFonts w:hint="default" w:ascii="Times New Roman" w:hAnsi="Times New Roman" w:cs="Times New Roman"/>
        </w:rPr>
        <w:fldChar w:fldCharType="separate"/>
      </w:r>
      <w:r>
        <w:rPr>
          <w:rFonts w:hint="default" w:ascii="Times New Roman" w:hAnsi="Times New Roman" w:cs="Times New Roman"/>
        </w:rPr>
        <w:t>4.3 耗水量</w:t>
      </w:r>
      <w:r>
        <w:tab/>
      </w:r>
      <w:r>
        <w:fldChar w:fldCharType="begin"/>
      </w:r>
      <w:r>
        <w:instrText xml:space="preserve"> PAGEREF _Toc3829 </w:instrText>
      </w:r>
      <w:r>
        <w:fldChar w:fldCharType="separate"/>
      </w:r>
      <w:r>
        <w:t>28</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_Toc9548 </w:instrText>
      </w:r>
      <w:r>
        <w:rPr>
          <w:rFonts w:hint="default" w:ascii="Times New Roman" w:hAnsi="Times New Roman" w:cs="Times New Roman"/>
        </w:rPr>
        <w:fldChar w:fldCharType="separate"/>
      </w:r>
      <w:r>
        <w:rPr>
          <w:rFonts w:hint="default" w:ascii="Times New Roman" w:hAnsi="Times New Roman" w:cs="Times New Roman"/>
        </w:rPr>
        <w:t>4.4 废污水排放</w:t>
      </w:r>
      <w:r>
        <w:tab/>
      </w:r>
      <w:r>
        <w:fldChar w:fldCharType="begin"/>
      </w:r>
      <w:r>
        <w:instrText xml:space="preserve"> PAGEREF _Toc9548 </w:instrText>
      </w:r>
      <w:r>
        <w:fldChar w:fldCharType="separate"/>
      </w:r>
      <w:r>
        <w:t>29</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_Toc13297 </w:instrText>
      </w:r>
      <w:r>
        <w:rPr>
          <w:rFonts w:hint="default" w:ascii="Times New Roman" w:hAnsi="Times New Roman" w:cs="Times New Roman"/>
        </w:rPr>
        <w:fldChar w:fldCharType="separate"/>
      </w:r>
      <w:r>
        <w:rPr>
          <w:rFonts w:hint="default" w:ascii="Times New Roman" w:hAnsi="Times New Roman" w:cs="Times New Roman"/>
        </w:rPr>
        <w:t>4.5 用水指标</w:t>
      </w:r>
      <w:r>
        <w:tab/>
      </w:r>
      <w:r>
        <w:fldChar w:fldCharType="begin"/>
      </w:r>
      <w:r>
        <w:instrText xml:space="preserve"> PAGEREF _Toc13297 </w:instrText>
      </w:r>
      <w:r>
        <w:fldChar w:fldCharType="separate"/>
      </w:r>
      <w:r>
        <w:t>30</w:t>
      </w:r>
      <w:r>
        <w:fldChar w:fldCharType="end"/>
      </w:r>
      <w:r>
        <w:rPr>
          <w:rFonts w:hint="default" w:ascii="Times New Roman" w:hAnsi="Times New Roman" w:cs="Times New Roman"/>
        </w:rPr>
        <w:fldChar w:fldCharType="end"/>
      </w:r>
    </w:p>
    <w:p>
      <w:pPr>
        <w:pStyle w:val="15"/>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_Toc20466 </w:instrText>
      </w:r>
      <w:r>
        <w:rPr>
          <w:rFonts w:hint="default" w:ascii="Times New Roman" w:hAnsi="Times New Roman" w:cs="Times New Roman"/>
        </w:rPr>
        <w:fldChar w:fldCharType="separate"/>
      </w:r>
      <w:r>
        <w:rPr>
          <w:rFonts w:hint="default" w:ascii="Times New Roman" w:hAnsi="Times New Roman" w:eastAsia="黑体" w:cs="Times New Roman"/>
        </w:rPr>
        <w:t>5 水功能区水质</w:t>
      </w:r>
      <w:r>
        <w:tab/>
      </w:r>
      <w:r>
        <w:fldChar w:fldCharType="begin"/>
      </w:r>
      <w:r>
        <w:instrText xml:space="preserve"> PAGEREF _Toc20466 </w:instrText>
      </w:r>
      <w:r>
        <w:fldChar w:fldCharType="separate"/>
      </w:r>
      <w:r>
        <w:t>32</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_Toc11598 </w:instrText>
      </w:r>
      <w:r>
        <w:rPr>
          <w:rFonts w:hint="default" w:ascii="Times New Roman" w:hAnsi="Times New Roman" w:cs="Times New Roman"/>
        </w:rPr>
        <w:fldChar w:fldCharType="separate"/>
      </w:r>
      <w:r>
        <w:rPr>
          <w:rFonts w:hint="default" w:ascii="Times New Roman" w:hAnsi="Times New Roman" w:cs="Times New Roman"/>
        </w:rPr>
        <w:t>5.1 水功能区</w:t>
      </w:r>
      <w:r>
        <w:rPr>
          <w:rFonts w:hint="eastAsia" w:ascii="Times New Roman" w:hAnsi="Times New Roman" w:cs="Times New Roman"/>
          <w:lang w:val="en-US" w:eastAsia="zh-CN"/>
        </w:rPr>
        <w:t>水质达标评价</w:t>
      </w:r>
      <w:r>
        <w:tab/>
      </w:r>
      <w:r>
        <w:fldChar w:fldCharType="begin"/>
      </w:r>
      <w:r>
        <w:instrText xml:space="preserve"> PAGEREF _Toc11598 </w:instrText>
      </w:r>
      <w:r>
        <w:fldChar w:fldCharType="separate"/>
      </w:r>
      <w:r>
        <w:t>32</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_Toc9614 </w:instrText>
      </w:r>
      <w:r>
        <w:rPr>
          <w:rFonts w:hint="default" w:ascii="Times New Roman" w:hAnsi="Times New Roman" w:cs="Times New Roman"/>
        </w:rPr>
        <w:fldChar w:fldCharType="separate"/>
      </w:r>
      <w:r>
        <w:rPr>
          <w:rFonts w:hint="default" w:ascii="Times New Roman" w:hAnsi="Times New Roman" w:cs="Times New Roman"/>
        </w:rPr>
        <w:t>5.2 省考核水功能区达标评价</w:t>
      </w:r>
      <w:r>
        <w:tab/>
      </w:r>
      <w:r>
        <w:fldChar w:fldCharType="begin"/>
      </w:r>
      <w:r>
        <w:instrText xml:space="preserve"> PAGEREF _Toc9614 </w:instrText>
      </w:r>
      <w:r>
        <w:fldChar w:fldCharType="separate"/>
      </w:r>
      <w:r>
        <w:t>33</w:t>
      </w:r>
      <w:r>
        <w:fldChar w:fldCharType="end"/>
      </w:r>
      <w:r>
        <w:rPr>
          <w:rFonts w:hint="default" w:ascii="Times New Roman" w:hAnsi="Times New Roman" w:cs="Times New Roman"/>
        </w:rPr>
        <w:fldChar w:fldCharType="end"/>
      </w:r>
    </w:p>
    <w:p>
      <w:pPr>
        <w:pStyle w:val="15"/>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_Toc24192 </w:instrText>
      </w:r>
      <w:r>
        <w:rPr>
          <w:rFonts w:hint="default" w:ascii="Times New Roman" w:hAnsi="Times New Roman" w:cs="Times New Roman"/>
        </w:rPr>
        <w:fldChar w:fldCharType="separate"/>
      </w:r>
      <w:r>
        <w:rPr>
          <w:rFonts w:hint="default" w:ascii="Times New Roman" w:hAnsi="Times New Roman" w:eastAsia="黑体" w:cs="Times New Roman"/>
        </w:rPr>
        <w:t>6 水资源管理</w:t>
      </w:r>
      <w:r>
        <w:tab/>
      </w:r>
      <w:r>
        <w:fldChar w:fldCharType="begin"/>
      </w:r>
      <w:r>
        <w:instrText xml:space="preserve"> PAGEREF _Toc24192 </w:instrText>
      </w:r>
      <w:r>
        <w:fldChar w:fldCharType="separate"/>
      </w:r>
      <w:r>
        <w:t>37</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_Toc5767 </w:instrText>
      </w:r>
      <w:r>
        <w:rPr>
          <w:rFonts w:hint="default" w:ascii="Times New Roman" w:hAnsi="Times New Roman" w:cs="Times New Roman"/>
        </w:rPr>
        <w:fldChar w:fldCharType="separate"/>
      </w:r>
      <w:r>
        <w:rPr>
          <w:rFonts w:hint="eastAsia" w:ascii="Times New Roman" w:hAnsi="Times New Roman" w:cs="Times New Roman"/>
          <w:lang w:val="en-US" w:eastAsia="zh-CN"/>
        </w:rPr>
        <w:t>6.1 实行最严格水资源管理制度</w:t>
      </w:r>
      <w:r>
        <w:tab/>
      </w:r>
      <w:r>
        <w:fldChar w:fldCharType="begin"/>
      </w:r>
      <w:r>
        <w:instrText xml:space="preserve"> PAGEREF _Toc5767 </w:instrText>
      </w:r>
      <w:r>
        <w:fldChar w:fldCharType="separate"/>
      </w:r>
      <w:r>
        <w:t>37</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_Toc11788 </w:instrText>
      </w:r>
      <w:r>
        <w:rPr>
          <w:rFonts w:hint="default" w:ascii="Times New Roman" w:hAnsi="Times New Roman" w:cs="Times New Roman"/>
        </w:rPr>
        <w:fldChar w:fldCharType="separate"/>
      </w:r>
      <w:r>
        <w:rPr>
          <w:rFonts w:hint="default" w:ascii="Times New Roman" w:hAnsi="Times New Roman" w:cs="Times New Roman"/>
          <w:lang w:val="en-US" w:eastAsia="zh-CN"/>
        </w:rPr>
        <w:t xml:space="preserve">6.2 </w:t>
      </w:r>
      <w:r>
        <w:rPr>
          <w:rFonts w:hint="default" w:ascii="Times New Roman" w:hAnsi="Times New Roman" w:cs="Times New Roman"/>
        </w:rPr>
        <w:t>水资源管理体制改革</w:t>
      </w:r>
      <w:r>
        <w:tab/>
      </w:r>
      <w:r>
        <w:fldChar w:fldCharType="begin"/>
      </w:r>
      <w:r>
        <w:instrText xml:space="preserve"> PAGEREF _Toc11788 </w:instrText>
      </w:r>
      <w:r>
        <w:fldChar w:fldCharType="separate"/>
      </w:r>
      <w:r>
        <w:t>37</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_Toc12317 </w:instrText>
      </w:r>
      <w:r>
        <w:rPr>
          <w:rFonts w:hint="default" w:ascii="Times New Roman" w:hAnsi="Times New Roman" w:cs="Times New Roman"/>
        </w:rPr>
        <w:fldChar w:fldCharType="separate"/>
      </w:r>
      <w:r>
        <w:rPr>
          <w:rFonts w:hint="default" w:ascii="Times New Roman" w:hAnsi="Times New Roman" w:cs="Times New Roman"/>
          <w:lang w:val="en-US" w:eastAsia="zh-CN"/>
        </w:rPr>
        <w:t xml:space="preserve">6.3 </w:t>
      </w:r>
      <w:r>
        <w:rPr>
          <w:rFonts w:hint="default" w:ascii="Times New Roman" w:hAnsi="Times New Roman" w:cs="Times New Roman"/>
        </w:rPr>
        <w:t>地下水压采</w:t>
      </w:r>
      <w:r>
        <w:tab/>
      </w:r>
      <w:r>
        <w:fldChar w:fldCharType="begin"/>
      </w:r>
      <w:r>
        <w:instrText xml:space="preserve"> PAGEREF _Toc12317 </w:instrText>
      </w:r>
      <w:r>
        <w:fldChar w:fldCharType="separate"/>
      </w:r>
      <w:r>
        <w:t>38</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_Toc31165 </w:instrText>
      </w:r>
      <w:r>
        <w:rPr>
          <w:rFonts w:hint="default" w:ascii="Times New Roman" w:hAnsi="Times New Roman" w:cs="Times New Roman"/>
        </w:rPr>
        <w:fldChar w:fldCharType="separate"/>
      </w:r>
      <w:r>
        <w:rPr>
          <w:rFonts w:hint="default" w:ascii="Times New Roman" w:hAnsi="Times New Roman" w:cs="Times New Roman"/>
          <w:lang w:val="en-US" w:eastAsia="zh-CN"/>
        </w:rPr>
        <w:t>6.4</w:t>
      </w:r>
      <w:r>
        <w:rPr>
          <w:rFonts w:hint="default" w:ascii="Times New Roman" w:hAnsi="Times New Roman" w:cs="Times New Roman"/>
        </w:rPr>
        <w:t>水资源规划及调查评价</w:t>
      </w:r>
      <w:r>
        <w:tab/>
      </w:r>
      <w:r>
        <w:fldChar w:fldCharType="begin"/>
      </w:r>
      <w:r>
        <w:instrText xml:space="preserve"> PAGEREF _Toc31165 </w:instrText>
      </w:r>
      <w:r>
        <w:fldChar w:fldCharType="separate"/>
      </w:r>
      <w:r>
        <w:t>38</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_Toc28755 </w:instrText>
      </w:r>
      <w:r>
        <w:rPr>
          <w:rFonts w:hint="default" w:ascii="Times New Roman" w:hAnsi="Times New Roman" w:cs="Times New Roman"/>
        </w:rPr>
        <w:fldChar w:fldCharType="separate"/>
      </w:r>
      <w:r>
        <w:rPr>
          <w:rFonts w:hint="default" w:ascii="Times New Roman" w:hAnsi="Times New Roman" w:cs="Times New Roman"/>
          <w:highlight w:val="none"/>
          <w:lang w:val="en-US" w:eastAsia="zh-CN"/>
        </w:rPr>
        <w:t xml:space="preserve">6.5 </w:t>
      </w:r>
      <w:r>
        <w:rPr>
          <w:rFonts w:hint="default" w:ascii="Times New Roman" w:hAnsi="Times New Roman" w:cs="Times New Roman"/>
          <w:highlight w:val="none"/>
        </w:rPr>
        <w:t>入河排污口管理</w:t>
      </w:r>
      <w:r>
        <w:tab/>
      </w:r>
      <w:r>
        <w:fldChar w:fldCharType="begin"/>
      </w:r>
      <w:r>
        <w:instrText xml:space="preserve"> PAGEREF _Toc28755 </w:instrText>
      </w:r>
      <w:r>
        <w:fldChar w:fldCharType="separate"/>
      </w:r>
      <w:r>
        <w:t>38</w:t>
      </w:r>
      <w:r>
        <w:fldChar w:fldCharType="end"/>
      </w:r>
      <w:r>
        <w:rPr>
          <w:rFonts w:hint="default" w:ascii="Times New Roman" w:hAnsi="Times New Roman" w:cs="Times New Roman"/>
        </w:rPr>
        <w:fldChar w:fldCharType="end"/>
      </w:r>
    </w:p>
    <w:p>
      <w:pPr>
        <w:pStyle w:val="16"/>
        <w:tabs>
          <w:tab w:val="right" w:leader="dot" w:pos="9412"/>
          <w:tab w:val="clear" w:pos="9402"/>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_Toc2404 </w:instrText>
      </w:r>
      <w:r>
        <w:rPr>
          <w:rFonts w:hint="default" w:ascii="Times New Roman" w:hAnsi="Times New Roman" w:cs="Times New Roman"/>
        </w:rPr>
        <w:fldChar w:fldCharType="separate"/>
      </w:r>
      <w:r>
        <w:rPr>
          <w:rFonts w:hint="default" w:ascii="Times New Roman" w:hAnsi="Times New Roman" w:cs="Times New Roman"/>
          <w:lang w:val="en-US" w:eastAsia="zh-CN"/>
        </w:rPr>
        <w:t>6.6</w:t>
      </w:r>
      <w:r>
        <w:rPr>
          <w:rFonts w:hint="default" w:ascii="Times New Roman" w:hAnsi="Times New Roman" w:cs="Times New Roman"/>
        </w:rPr>
        <w:t>节水型社会建设</w:t>
      </w:r>
      <w:r>
        <w:tab/>
      </w:r>
      <w:r>
        <w:fldChar w:fldCharType="begin"/>
      </w:r>
      <w:r>
        <w:instrText xml:space="preserve"> PAGEREF _Toc2404 </w:instrText>
      </w:r>
      <w:r>
        <w:fldChar w:fldCharType="separate"/>
      </w:r>
      <w:r>
        <w:t>39</w:t>
      </w:r>
      <w:r>
        <w:fldChar w:fldCharType="end"/>
      </w:r>
      <w:r>
        <w:rPr>
          <w:rFonts w:hint="default" w:ascii="Times New Roman" w:hAnsi="Times New Roman" w:cs="Times New Roman"/>
        </w:rPr>
        <w:fldChar w:fldCharType="end"/>
      </w:r>
    </w:p>
    <w:p>
      <w:pPr>
        <w:rPr>
          <w:rFonts w:hint="default" w:ascii="Times New Roman" w:hAnsi="Times New Roman" w:cs="Times New Roman"/>
        </w:rPr>
      </w:pPr>
      <w:r>
        <w:rPr>
          <w:rFonts w:hint="default" w:ascii="Times New Roman" w:hAnsi="Times New Roman" w:cs="Times New Roman"/>
        </w:rPr>
        <w:fldChar w:fldCharType="end"/>
      </w:r>
    </w:p>
    <w:p>
      <w:pPr>
        <w:rPr>
          <w:rFonts w:hint="default" w:ascii="Times New Roman" w:hAnsi="Times New Roman" w:eastAsia="黑体" w:cs="Times New Roman"/>
          <w:b/>
          <w:sz w:val="44"/>
          <w:szCs w:val="44"/>
        </w:rPr>
        <w:sectPr>
          <w:footerReference r:id="rId6" w:type="default"/>
          <w:pgSz w:w="11906" w:h="16838"/>
          <w:pgMar w:top="1418" w:right="1247" w:bottom="1418" w:left="1247" w:header="851" w:footer="907" w:gutter="0"/>
          <w:pgBorders>
            <w:top w:val="none" w:sz="0" w:space="0"/>
            <w:left w:val="none" w:sz="0" w:space="0"/>
            <w:bottom w:val="none" w:sz="0" w:space="0"/>
            <w:right w:val="none" w:sz="0" w:space="0"/>
          </w:pgBorders>
          <w:pgNumType w:start="1"/>
          <w:cols w:space="425" w:num="1"/>
          <w:docGrid w:linePitch="312" w:charSpace="0"/>
        </w:sectPr>
      </w:pPr>
    </w:p>
    <w:p>
      <w:pPr>
        <w:pStyle w:val="3"/>
        <w:spacing w:before="0" w:after="0" w:line="360" w:lineRule="auto"/>
        <w:jc w:val="center"/>
        <w:rPr>
          <w:rFonts w:hint="default" w:ascii="Times New Roman" w:hAnsi="Times New Roman" w:eastAsia="黑体" w:cs="Times New Roman"/>
          <w:b w:val="0"/>
        </w:rPr>
      </w:pPr>
      <w:bookmarkStart w:id="0" w:name="_Toc24714"/>
      <w:r>
        <w:rPr>
          <w:rFonts w:hint="default" w:ascii="Times New Roman" w:hAnsi="Times New Roman" w:eastAsia="黑体" w:cs="Times New Roman"/>
          <w:b w:val="0"/>
        </w:rPr>
        <w:t>1 综    述</w:t>
      </w:r>
      <w:bookmarkEnd w:id="0"/>
    </w:p>
    <w:p>
      <w:pPr>
        <w:spacing w:line="360" w:lineRule="auto"/>
        <w:ind w:firstLine="600" w:firstLineChars="200"/>
        <w:rPr>
          <w:rFonts w:hint="default" w:ascii="Times New Roman" w:hAnsi="Times New Roman" w:eastAsia="仿宋" w:cs="Times New Roman"/>
          <w:sz w:val="30"/>
          <w:szCs w:val="30"/>
          <w:highlight w:val="none"/>
        </w:rPr>
      </w:pPr>
      <w:r>
        <w:rPr>
          <w:rFonts w:hint="default" w:ascii="Times New Roman" w:hAnsi="Times New Roman" w:eastAsia="仿宋" w:cs="Times New Roman"/>
          <w:sz w:val="30"/>
          <w:szCs w:val="30"/>
          <w:highlight w:val="none"/>
          <w:lang w:eastAsia="zh-CN"/>
        </w:rPr>
        <w:t>2018</w:t>
      </w:r>
      <w:r>
        <w:rPr>
          <w:rFonts w:hint="default" w:ascii="Times New Roman" w:hAnsi="Times New Roman" w:eastAsia="仿宋" w:cs="Times New Roman"/>
          <w:sz w:val="30"/>
          <w:szCs w:val="30"/>
          <w:highlight w:val="none"/>
        </w:rPr>
        <w:t>年郑州市水资源公报参与计算的行政分区为</w:t>
      </w:r>
      <w:r>
        <w:rPr>
          <w:rFonts w:hint="eastAsia" w:eastAsia="仿宋" w:cs="Times New Roman"/>
          <w:sz w:val="30"/>
          <w:szCs w:val="30"/>
          <w:highlight w:val="none"/>
          <w:lang w:val="en-US" w:eastAsia="zh-CN"/>
        </w:rPr>
        <w:t>5</w:t>
      </w:r>
      <w:r>
        <w:rPr>
          <w:rFonts w:hint="default" w:ascii="Times New Roman" w:hAnsi="Times New Roman" w:eastAsia="仿宋" w:cs="Times New Roman"/>
          <w:sz w:val="30"/>
          <w:szCs w:val="30"/>
          <w:highlight w:val="none"/>
        </w:rPr>
        <w:t>市1县3区，总面积为</w:t>
      </w:r>
      <w:r>
        <w:rPr>
          <w:rFonts w:hint="eastAsia" w:eastAsia="仿宋" w:cs="Times New Roman"/>
          <w:sz w:val="30"/>
          <w:szCs w:val="30"/>
          <w:highlight w:val="none"/>
          <w:lang w:val="en-US" w:eastAsia="zh-CN"/>
        </w:rPr>
        <w:t>7511.3</w:t>
      </w:r>
      <w:r>
        <w:rPr>
          <w:rFonts w:hint="default" w:ascii="Times New Roman" w:hAnsi="Times New Roman" w:eastAsia="仿宋" w:cs="Times New Roman"/>
          <w:sz w:val="30"/>
          <w:szCs w:val="30"/>
          <w:highlight w:val="none"/>
        </w:rPr>
        <w:t>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（含航空城纳入尉氏县的65km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面积），其中新密市（978.0km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）、新郑市（713.0km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）、荥阳市（8</w:t>
      </w:r>
      <w:r>
        <w:rPr>
          <w:rFonts w:hint="default" w:ascii="Times New Roman" w:hAnsi="Times New Roman" w:eastAsia="仿宋" w:cs="Times New Roman"/>
          <w:sz w:val="30"/>
          <w:szCs w:val="30"/>
          <w:highlight w:val="none"/>
          <w:lang w:val="en-US" w:eastAsia="zh-CN"/>
        </w:rPr>
        <w:t>9</w:t>
      </w:r>
      <w:r>
        <w:rPr>
          <w:rFonts w:hint="default" w:ascii="Times New Roman" w:hAnsi="Times New Roman" w:eastAsia="仿宋" w:cs="Times New Roman"/>
          <w:sz w:val="30"/>
          <w:szCs w:val="30"/>
          <w:highlight w:val="none"/>
        </w:rPr>
        <w:t>2.2km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）、登封市（1219.0km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）、中牟县（1203.0km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）、郑州市区（992.6km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）、航空港区（415.0km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w:t>
      </w:r>
      <w:r>
        <w:rPr>
          <w:rFonts w:hint="eastAsia" w:eastAsia="仿宋" w:cs="Times New Roman"/>
          <w:sz w:val="30"/>
          <w:szCs w:val="30"/>
          <w:highlight w:val="none"/>
          <w:lang w:eastAsia="zh-CN"/>
        </w:rPr>
        <w:t>、</w:t>
      </w:r>
      <w:r>
        <w:rPr>
          <w:rFonts w:hint="default" w:ascii="Times New Roman" w:hAnsi="Times New Roman" w:eastAsia="仿宋" w:cs="Times New Roman"/>
          <w:sz w:val="30"/>
          <w:szCs w:val="30"/>
          <w:highlight w:val="none"/>
        </w:rPr>
        <w:t>上街区（57.5km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w:t>
      </w:r>
      <w:r>
        <w:rPr>
          <w:rFonts w:hint="eastAsia" w:eastAsia="仿宋" w:cs="Times New Roman"/>
          <w:sz w:val="30"/>
          <w:szCs w:val="30"/>
          <w:highlight w:val="none"/>
          <w:lang w:val="en-US" w:eastAsia="zh-CN"/>
        </w:rPr>
        <w:t>和巩义市（1041.0</w:t>
      </w:r>
      <w:r>
        <w:rPr>
          <w:rFonts w:hint="default" w:ascii="Times New Roman" w:hAnsi="Times New Roman" w:eastAsia="仿宋" w:cs="Times New Roman"/>
          <w:sz w:val="30"/>
          <w:szCs w:val="30"/>
          <w:highlight w:val="none"/>
        </w:rPr>
        <w:t>km</w:t>
      </w:r>
      <w:r>
        <w:rPr>
          <w:rFonts w:hint="default" w:ascii="Times New Roman" w:hAnsi="Times New Roman" w:eastAsia="仿宋" w:cs="Times New Roman"/>
          <w:sz w:val="30"/>
          <w:szCs w:val="30"/>
          <w:highlight w:val="none"/>
          <w:vertAlign w:val="superscript"/>
        </w:rPr>
        <w:t>2</w:t>
      </w:r>
      <w:r>
        <w:rPr>
          <w:rFonts w:hint="eastAsia" w:eastAsia="仿宋" w:cs="Times New Roman"/>
          <w:sz w:val="30"/>
          <w:szCs w:val="30"/>
          <w:highlight w:val="none"/>
          <w:lang w:val="en-US" w:eastAsia="zh-CN"/>
        </w:rPr>
        <w:t>）</w:t>
      </w:r>
      <w:r>
        <w:rPr>
          <w:rFonts w:hint="default" w:ascii="Times New Roman" w:hAnsi="Times New Roman" w:eastAsia="仿宋" w:cs="Times New Roman"/>
          <w:sz w:val="30"/>
          <w:szCs w:val="30"/>
          <w:highlight w:val="none"/>
        </w:rPr>
        <w:t>。其中航空港区范围涉及为新郑市（190.0km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）、中牟县（160.0km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），以及尉氏县（65.0km</w:t>
      </w:r>
      <w:r>
        <w:rPr>
          <w:rFonts w:hint="default" w:ascii="Times New Roman" w:hAnsi="Times New Roman" w:eastAsia="仿宋" w:cs="Times New Roman"/>
          <w:sz w:val="30"/>
          <w:szCs w:val="30"/>
          <w:highlight w:val="none"/>
          <w:vertAlign w:val="superscript"/>
        </w:rPr>
        <w:t>2</w:t>
      </w:r>
      <w:r>
        <w:rPr>
          <w:rFonts w:hint="default" w:ascii="Times New Roman" w:hAnsi="Times New Roman" w:eastAsia="仿宋" w:cs="Times New Roman"/>
          <w:sz w:val="30"/>
          <w:szCs w:val="30"/>
          <w:highlight w:val="none"/>
        </w:rPr>
        <w:t>）的部分区域。</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年郑州市面平均年降水量为</w:t>
      </w:r>
      <w:r>
        <w:rPr>
          <w:rFonts w:hint="eastAsia" w:eastAsia="仿宋" w:cs="Times New Roman"/>
          <w:sz w:val="30"/>
          <w:szCs w:val="30"/>
          <w:lang w:val="en-US" w:eastAsia="zh-CN"/>
        </w:rPr>
        <w:t>559.3</w:t>
      </w:r>
      <w:r>
        <w:rPr>
          <w:rFonts w:hint="default" w:ascii="Times New Roman" w:hAnsi="Times New Roman" w:eastAsia="仿宋" w:cs="Times New Roman"/>
          <w:sz w:val="30"/>
          <w:szCs w:val="30"/>
        </w:rPr>
        <w:t>mm，</w:t>
      </w:r>
      <w:bookmarkStart w:id="1" w:name="OLE_LINK7"/>
      <w:r>
        <w:rPr>
          <w:rFonts w:hint="default" w:ascii="Times New Roman" w:hAnsi="Times New Roman" w:eastAsia="仿宋" w:cs="Times New Roman"/>
          <w:sz w:val="30"/>
          <w:szCs w:val="30"/>
        </w:rPr>
        <w:t>折合降水总量为</w:t>
      </w:r>
      <w:r>
        <w:rPr>
          <w:rFonts w:hint="eastAsia" w:eastAsia="仿宋" w:cs="Times New Roman"/>
          <w:sz w:val="30"/>
          <w:szCs w:val="30"/>
          <w:lang w:val="en-US" w:eastAsia="zh-CN"/>
        </w:rPr>
        <w:t>42.0102</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w:t>
      </w:r>
      <w:r>
        <w:rPr>
          <w:rFonts w:hint="default" w:ascii="Times New Roman" w:hAnsi="Times New Roman" w:eastAsia="仿宋" w:cs="Times New Roman"/>
          <w:sz w:val="30"/>
          <w:szCs w:val="30"/>
          <w:lang w:val="en-US" w:eastAsia="zh-CN"/>
        </w:rPr>
        <w:t>上</w:t>
      </w:r>
      <w:r>
        <w:rPr>
          <w:rFonts w:hint="default" w:ascii="Times New Roman" w:hAnsi="Times New Roman" w:eastAsia="仿宋" w:cs="Times New Roman"/>
          <w:sz w:val="30"/>
          <w:szCs w:val="30"/>
        </w:rPr>
        <w:t>年</w:t>
      </w:r>
      <w:r>
        <w:rPr>
          <w:rFonts w:hint="default" w:ascii="Times New Roman" w:hAnsi="Times New Roman" w:eastAsia="仿宋" w:cs="Times New Roman"/>
          <w:sz w:val="30"/>
          <w:szCs w:val="30"/>
          <w:lang w:val="en-US" w:eastAsia="zh-CN"/>
        </w:rPr>
        <w:t>52</w:t>
      </w:r>
      <w:r>
        <w:rPr>
          <w:rFonts w:hint="eastAsia" w:eastAsia="仿宋" w:cs="Times New Roman"/>
          <w:sz w:val="30"/>
          <w:szCs w:val="30"/>
          <w:lang w:val="en-US" w:eastAsia="zh-CN"/>
        </w:rPr>
        <w:t>5.2</w:t>
      </w:r>
      <w:r>
        <w:rPr>
          <w:rFonts w:hint="default" w:ascii="Times New Roman" w:hAnsi="Times New Roman" w:eastAsia="仿宋" w:cs="Times New Roman"/>
          <w:sz w:val="30"/>
          <w:szCs w:val="30"/>
        </w:rPr>
        <w:t>mm</w:t>
      </w:r>
      <w:r>
        <w:rPr>
          <w:rFonts w:hint="default" w:ascii="Times New Roman" w:hAnsi="Times New Roman" w:eastAsia="仿宋" w:cs="Times New Roman"/>
          <w:sz w:val="30"/>
          <w:szCs w:val="30"/>
          <w:lang w:val="en-US" w:eastAsia="zh-CN"/>
        </w:rPr>
        <w:t>增加</w:t>
      </w:r>
      <w:r>
        <w:rPr>
          <w:rFonts w:hint="eastAsia" w:eastAsia="仿宋" w:cs="Times New Roman"/>
          <w:sz w:val="30"/>
          <w:szCs w:val="30"/>
          <w:lang w:val="en-US" w:eastAsia="zh-CN"/>
        </w:rPr>
        <w:t>6.5</w:t>
      </w:r>
      <w:r>
        <w:rPr>
          <w:rFonts w:hint="default" w:ascii="Times New Roman" w:hAnsi="Times New Roman" w:eastAsia="仿宋" w:cs="Times New Roman"/>
          <w:sz w:val="30"/>
          <w:szCs w:val="30"/>
        </w:rPr>
        <w:t>％，比</w:t>
      </w:r>
      <w:r>
        <w:rPr>
          <w:rFonts w:hint="eastAsia" w:eastAsia="仿宋" w:cs="Times New Roman"/>
          <w:sz w:val="30"/>
          <w:szCs w:val="30"/>
          <w:lang w:eastAsia="zh-CN"/>
        </w:rPr>
        <w:t>多年均值（</w:t>
      </w:r>
      <w:r>
        <w:rPr>
          <w:rFonts w:hint="eastAsia" w:eastAsia="仿宋" w:cs="Times New Roman"/>
          <w:sz w:val="30"/>
          <w:szCs w:val="30"/>
          <w:lang w:val="en-US" w:eastAsia="zh-CN"/>
        </w:rPr>
        <w:t>1956～2000年系列</w:t>
      </w:r>
      <w:r>
        <w:rPr>
          <w:rFonts w:hint="eastAsia" w:eastAsia="仿宋" w:cs="Times New Roman"/>
          <w:sz w:val="30"/>
          <w:szCs w:val="30"/>
          <w:lang w:eastAsia="zh-CN"/>
        </w:rPr>
        <w:t>）</w:t>
      </w:r>
      <w:r>
        <w:rPr>
          <w:rFonts w:hint="eastAsia" w:eastAsia="仿宋" w:cs="Times New Roman"/>
          <w:sz w:val="30"/>
          <w:szCs w:val="30"/>
          <w:lang w:val="en-US" w:eastAsia="zh-CN"/>
        </w:rPr>
        <w:t>635.6</w:t>
      </w:r>
      <w:r>
        <w:rPr>
          <w:rFonts w:hint="default" w:ascii="Times New Roman" w:hAnsi="Times New Roman" w:eastAsia="仿宋" w:cs="Times New Roman"/>
          <w:sz w:val="30"/>
          <w:szCs w:val="30"/>
        </w:rPr>
        <w:t>mm减少</w:t>
      </w:r>
      <w:r>
        <w:rPr>
          <w:rFonts w:hint="eastAsia" w:eastAsia="仿宋" w:cs="Times New Roman"/>
          <w:sz w:val="30"/>
          <w:szCs w:val="30"/>
          <w:lang w:val="en-US" w:eastAsia="zh-CN"/>
        </w:rPr>
        <w:t>12.0</w:t>
      </w:r>
      <w:r>
        <w:rPr>
          <w:rFonts w:hint="default" w:ascii="Times New Roman" w:hAnsi="Times New Roman" w:eastAsia="仿宋" w:cs="Times New Roman"/>
          <w:sz w:val="30"/>
          <w:szCs w:val="30"/>
        </w:rPr>
        <w:t>％，属</w:t>
      </w:r>
      <w:r>
        <w:rPr>
          <w:rFonts w:hint="default" w:ascii="Times New Roman" w:hAnsi="Times New Roman" w:eastAsia="仿宋" w:cs="Times New Roman"/>
          <w:sz w:val="30"/>
          <w:szCs w:val="30"/>
          <w:lang w:val="en-US" w:eastAsia="zh-CN"/>
        </w:rPr>
        <w:t>平</w:t>
      </w:r>
      <w:r>
        <w:rPr>
          <w:rFonts w:hint="default" w:ascii="Times New Roman" w:hAnsi="Times New Roman" w:eastAsia="仿宋" w:cs="Times New Roman"/>
          <w:sz w:val="30"/>
          <w:szCs w:val="30"/>
        </w:rPr>
        <w:t>水年份</w:t>
      </w:r>
      <w:bookmarkEnd w:id="1"/>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年度郑州市水资源总量（是指区域降水所形成的地表和地下的产水量，不包括区外来水量，如引黄、南水北调的供水）为</w:t>
      </w:r>
      <w:r>
        <w:rPr>
          <w:rFonts w:hint="eastAsia" w:eastAsia="仿宋" w:cs="Times New Roman"/>
          <w:sz w:val="30"/>
          <w:szCs w:val="30"/>
          <w:lang w:val="en-US" w:eastAsia="zh-CN"/>
        </w:rPr>
        <w:t>7.2782</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；产水系数是水资源总量与降水量的比值，为</w:t>
      </w:r>
      <w:r>
        <w:rPr>
          <w:rFonts w:hint="default" w:ascii="Times New Roman" w:hAnsi="Times New Roman" w:eastAsia="仿宋" w:cs="Times New Roman"/>
          <w:sz w:val="30"/>
          <w:szCs w:val="30"/>
          <w:lang w:val="en-US" w:eastAsia="zh-CN"/>
        </w:rPr>
        <w:t>0.17</w:t>
      </w:r>
      <w:r>
        <w:rPr>
          <w:rFonts w:hint="eastAsia" w:eastAsia="仿宋" w:cs="Times New Roman"/>
          <w:sz w:val="30"/>
          <w:szCs w:val="30"/>
          <w:lang w:val="en-US" w:eastAsia="zh-CN"/>
        </w:rPr>
        <w:t>32</w:t>
      </w:r>
      <w:r>
        <w:rPr>
          <w:rFonts w:hint="default" w:ascii="Times New Roman" w:hAnsi="Times New Roman" w:eastAsia="仿宋" w:cs="Times New Roman"/>
          <w:sz w:val="30"/>
          <w:szCs w:val="30"/>
        </w:rPr>
        <w:t>；产水模数是水资源总量与行政区域面积之比，为</w:t>
      </w:r>
      <w:r>
        <w:rPr>
          <w:rFonts w:hint="eastAsia" w:eastAsia="仿宋" w:cs="Times New Roman"/>
          <w:sz w:val="30"/>
          <w:szCs w:val="30"/>
          <w:lang w:val="en-US" w:eastAsia="zh-CN"/>
        </w:rPr>
        <w:t>9.7</w:t>
      </w:r>
      <w:r>
        <w:rPr>
          <w:rFonts w:hint="default" w:ascii="Times New Roman" w:hAnsi="Times New Roman" w:eastAsia="仿宋" w:cs="Times New Roman"/>
          <w:sz w:val="30"/>
          <w:szCs w:val="30"/>
        </w:rPr>
        <w:t>万m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。其中地表水资源量为</w:t>
      </w:r>
      <w:r>
        <w:rPr>
          <w:rFonts w:hint="default" w:ascii="Times New Roman" w:hAnsi="Times New Roman" w:eastAsia="仿宋" w:cs="Times New Roman"/>
          <w:sz w:val="30"/>
          <w:szCs w:val="30"/>
          <w:lang w:val="en-US" w:eastAsia="zh-CN"/>
        </w:rPr>
        <w:t>3.</w:t>
      </w:r>
      <w:r>
        <w:rPr>
          <w:rFonts w:hint="eastAsia" w:eastAsia="仿宋" w:cs="Times New Roman"/>
          <w:sz w:val="30"/>
          <w:szCs w:val="30"/>
          <w:lang w:val="en-US" w:eastAsia="zh-CN"/>
        </w:rPr>
        <w:t>6424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，地下水资源量为</w:t>
      </w:r>
      <w:r>
        <w:rPr>
          <w:rFonts w:hint="eastAsia" w:eastAsia="仿宋" w:cs="Times New Roman"/>
          <w:sz w:val="30"/>
          <w:szCs w:val="30"/>
          <w:lang w:val="en-US" w:eastAsia="zh-CN"/>
        </w:rPr>
        <w:t>5.4516</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，地表水与地下水重复计算量为</w:t>
      </w:r>
      <w:r>
        <w:rPr>
          <w:rFonts w:hint="default" w:ascii="Times New Roman" w:hAnsi="Times New Roman" w:eastAsia="仿宋" w:cs="Times New Roman"/>
          <w:sz w:val="30"/>
          <w:szCs w:val="30"/>
          <w:lang w:val="en-US" w:eastAsia="zh-CN"/>
        </w:rPr>
        <w:t>1.</w:t>
      </w:r>
      <w:r>
        <w:rPr>
          <w:rFonts w:hint="eastAsia" w:eastAsia="仿宋" w:cs="Times New Roman"/>
          <w:sz w:val="30"/>
          <w:szCs w:val="30"/>
          <w:lang w:val="en-US" w:eastAsia="zh-CN"/>
        </w:rPr>
        <w:t>8158</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w:t>
      </w:r>
      <w:r>
        <w:rPr>
          <w:rFonts w:hint="eastAsia" w:eastAsia="仿宋" w:cs="Times New Roman"/>
          <w:sz w:val="30"/>
          <w:szCs w:val="30"/>
          <w:lang w:val="en-US" w:eastAsia="zh-CN"/>
        </w:rPr>
        <w:t>14</w:t>
      </w:r>
      <w:r>
        <w:rPr>
          <w:rFonts w:hint="default" w:ascii="Times New Roman" w:hAnsi="Times New Roman" w:eastAsia="仿宋" w:cs="Times New Roman"/>
          <w:sz w:val="30"/>
          <w:szCs w:val="30"/>
        </w:rPr>
        <w:t>座中型水库年初蓄水量0.</w:t>
      </w:r>
      <w:r>
        <w:rPr>
          <w:rFonts w:hint="eastAsia" w:eastAsia="仿宋" w:cs="Times New Roman"/>
          <w:sz w:val="30"/>
          <w:szCs w:val="30"/>
          <w:lang w:val="en-US" w:eastAsia="zh-CN"/>
        </w:rPr>
        <w:t>4624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，年末蓄水量0.</w:t>
      </w:r>
      <w:r>
        <w:rPr>
          <w:rFonts w:hint="eastAsia" w:eastAsia="仿宋" w:cs="Times New Roman"/>
          <w:sz w:val="30"/>
          <w:szCs w:val="30"/>
          <w:lang w:val="en-US" w:eastAsia="zh-CN"/>
        </w:rPr>
        <w:t>4665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，年蓄水变量</w:t>
      </w:r>
      <w:r>
        <w:rPr>
          <w:rFonts w:hint="default" w:ascii="Times New Roman" w:hAnsi="Times New Roman" w:eastAsia="仿宋" w:cs="Times New Roman"/>
          <w:sz w:val="30"/>
          <w:szCs w:val="30"/>
          <w:lang w:val="en-US" w:eastAsia="zh-CN"/>
        </w:rPr>
        <w:t>增加0.00</w:t>
      </w:r>
      <w:r>
        <w:rPr>
          <w:rFonts w:hint="eastAsia" w:eastAsia="仿宋" w:cs="Times New Roman"/>
          <w:sz w:val="30"/>
          <w:szCs w:val="30"/>
          <w:lang w:val="en-US" w:eastAsia="zh-CN"/>
        </w:rPr>
        <w:t>41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highlight w:val="none"/>
        </w:rPr>
        <w:t>根据郑州市辖区内的</w:t>
      </w:r>
      <w:r>
        <w:rPr>
          <w:rFonts w:hint="eastAsia" w:eastAsia="仿宋" w:cs="Times New Roman"/>
          <w:sz w:val="30"/>
          <w:szCs w:val="30"/>
          <w:highlight w:val="none"/>
          <w:lang w:val="en-US" w:eastAsia="zh-CN"/>
        </w:rPr>
        <w:t>56</w:t>
      </w:r>
      <w:r>
        <w:rPr>
          <w:rFonts w:hint="default" w:ascii="Times New Roman" w:hAnsi="Times New Roman" w:eastAsia="仿宋" w:cs="Times New Roman"/>
          <w:sz w:val="30"/>
          <w:szCs w:val="30"/>
          <w:highlight w:val="none"/>
        </w:rPr>
        <w:t>眼</w:t>
      </w:r>
      <w:r>
        <w:rPr>
          <w:rFonts w:hint="eastAsia" w:eastAsia="仿宋" w:cs="Times New Roman"/>
          <w:sz w:val="30"/>
          <w:szCs w:val="30"/>
          <w:highlight w:val="none"/>
          <w:lang w:val="en-US" w:eastAsia="zh-CN"/>
        </w:rPr>
        <w:t>浅层地下水</w:t>
      </w:r>
      <w:r>
        <w:rPr>
          <w:rFonts w:hint="default" w:ascii="Times New Roman" w:hAnsi="Times New Roman" w:eastAsia="仿宋" w:cs="Times New Roman"/>
          <w:sz w:val="30"/>
          <w:szCs w:val="30"/>
          <w:highlight w:val="none"/>
        </w:rPr>
        <w:t>常观井观测资料统计，</w:t>
      </w:r>
      <w:r>
        <w:rPr>
          <w:rFonts w:hint="default" w:ascii="Times New Roman" w:hAnsi="Times New Roman" w:eastAsia="仿宋" w:cs="Times New Roman"/>
          <w:sz w:val="30"/>
          <w:szCs w:val="30"/>
        </w:rPr>
        <w:t>郑州市全区浅层地下水平均水位较年初</w:t>
      </w:r>
      <w:r>
        <w:rPr>
          <w:rFonts w:hint="eastAsia" w:eastAsia="仿宋" w:cs="Times New Roman"/>
          <w:sz w:val="30"/>
          <w:szCs w:val="30"/>
          <w:lang w:val="en-US" w:eastAsia="zh-CN"/>
        </w:rPr>
        <w:t>上升了0.05m</w:t>
      </w:r>
      <w:r>
        <w:rPr>
          <w:rFonts w:hint="default" w:ascii="Times New Roman" w:hAnsi="Times New Roman" w:eastAsia="仿宋" w:cs="Times New Roman"/>
          <w:sz w:val="30"/>
          <w:szCs w:val="30"/>
        </w:rPr>
        <w:t>。</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val="en-US" w:eastAsia="zh-CN"/>
        </w:rPr>
        <w:t>2018年</w:t>
      </w:r>
      <w:r>
        <w:rPr>
          <w:rFonts w:hint="default" w:ascii="Times New Roman" w:hAnsi="Times New Roman" w:eastAsia="仿宋" w:cs="Times New Roman"/>
          <w:sz w:val="30"/>
          <w:szCs w:val="30"/>
        </w:rPr>
        <w:t>郑州</w:t>
      </w:r>
      <w:r>
        <w:rPr>
          <w:rFonts w:hint="eastAsia" w:eastAsia="仿宋" w:cs="Times New Roman"/>
          <w:sz w:val="30"/>
          <w:szCs w:val="30"/>
          <w:lang w:val="en-US" w:eastAsia="zh-CN"/>
        </w:rPr>
        <w:t>市域城市</w:t>
      </w:r>
      <w:r>
        <w:rPr>
          <w:rFonts w:hint="eastAsia" w:ascii="Times New Roman" w:hAnsi="Times New Roman" w:eastAsia="仿宋" w:cs="Times New Roman"/>
          <w:sz w:val="30"/>
          <w:szCs w:val="30"/>
          <w:highlight w:val="none"/>
          <w:lang w:val="en-US" w:eastAsia="zh-CN"/>
        </w:rPr>
        <w:t>建成</w:t>
      </w:r>
      <w:r>
        <w:rPr>
          <w:rFonts w:hint="eastAsia" w:eastAsia="仿宋" w:cs="Times New Roman"/>
          <w:sz w:val="30"/>
          <w:szCs w:val="30"/>
          <w:lang w:val="en-US" w:eastAsia="zh-CN"/>
        </w:rPr>
        <w:t>区</w:t>
      </w:r>
      <w:r>
        <w:rPr>
          <w:rFonts w:hint="default" w:ascii="Times New Roman" w:hAnsi="Times New Roman" w:eastAsia="仿宋" w:cs="Times New Roman"/>
          <w:sz w:val="30"/>
          <w:szCs w:val="30"/>
        </w:rPr>
        <w:t>的浅层地下水</w:t>
      </w:r>
      <w:r>
        <w:rPr>
          <w:rFonts w:hint="default" w:ascii="Times New Roman" w:hAnsi="Times New Roman" w:eastAsia="仿宋" w:cs="Times New Roman"/>
          <w:sz w:val="30"/>
          <w:szCs w:val="30"/>
          <w:lang w:val="en-US" w:eastAsia="zh-CN"/>
        </w:rPr>
        <w:t>枯水期</w:t>
      </w:r>
      <w:r>
        <w:rPr>
          <w:rFonts w:hint="eastAsia" w:eastAsia="仿宋" w:cs="Times New Roman"/>
          <w:sz w:val="30"/>
          <w:szCs w:val="30"/>
          <w:lang w:val="en-US" w:eastAsia="zh-CN"/>
        </w:rPr>
        <w:t>（5月份）</w:t>
      </w:r>
      <w:r>
        <w:rPr>
          <w:rFonts w:hint="default" w:ascii="Times New Roman" w:hAnsi="Times New Roman" w:eastAsia="仿宋" w:cs="Times New Roman"/>
          <w:sz w:val="30"/>
          <w:szCs w:val="30"/>
          <w:lang w:val="en-US" w:eastAsia="zh-CN"/>
        </w:rPr>
        <w:t>较2017年同期水位上升0.14m</w:t>
      </w:r>
      <w:r>
        <w:rPr>
          <w:rFonts w:hint="eastAsia" w:eastAsia="仿宋" w:cs="Times New Roman"/>
          <w:sz w:val="30"/>
          <w:szCs w:val="30"/>
          <w:lang w:val="en-US" w:eastAsia="zh-CN"/>
        </w:rPr>
        <w:t>，</w:t>
      </w:r>
      <w:r>
        <w:rPr>
          <w:rFonts w:hint="default" w:ascii="Times New Roman" w:hAnsi="Times New Roman" w:eastAsia="仿宋" w:cs="Times New Roman"/>
          <w:sz w:val="30"/>
          <w:szCs w:val="30"/>
          <w:lang w:val="en-US" w:eastAsia="zh-CN"/>
        </w:rPr>
        <w:t>丰水期</w:t>
      </w:r>
      <w:r>
        <w:rPr>
          <w:rFonts w:hint="eastAsia" w:eastAsia="仿宋" w:cs="Times New Roman"/>
          <w:sz w:val="30"/>
          <w:szCs w:val="30"/>
          <w:lang w:val="en-US" w:eastAsia="zh-CN"/>
        </w:rPr>
        <w:t>（9月份）</w:t>
      </w:r>
      <w:r>
        <w:rPr>
          <w:rFonts w:hint="default" w:ascii="Times New Roman" w:hAnsi="Times New Roman" w:eastAsia="仿宋" w:cs="Times New Roman"/>
          <w:sz w:val="30"/>
          <w:szCs w:val="30"/>
          <w:lang w:val="en-US" w:eastAsia="zh-CN"/>
        </w:rPr>
        <w:t>较2017年同期水位下降0.41m</w:t>
      </w:r>
      <w:r>
        <w:rPr>
          <w:rFonts w:hint="eastAsia" w:eastAsia="仿宋" w:cs="Times New Roman"/>
          <w:sz w:val="30"/>
          <w:szCs w:val="30"/>
          <w:lang w:val="en-US" w:eastAsia="zh-CN"/>
        </w:rPr>
        <w:t>；</w:t>
      </w:r>
      <w:r>
        <w:rPr>
          <w:rFonts w:hint="default" w:ascii="Times New Roman" w:hAnsi="Times New Roman" w:eastAsia="仿宋" w:cs="Times New Roman"/>
          <w:sz w:val="30"/>
          <w:szCs w:val="30"/>
          <w:lang w:val="en-US" w:eastAsia="zh-CN"/>
        </w:rPr>
        <w:t>中深</w:t>
      </w:r>
      <w:r>
        <w:rPr>
          <w:rFonts w:hint="default" w:ascii="Times New Roman" w:hAnsi="Times New Roman" w:eastAsia="仿宋" w:cs="Times New Roman"/>
          <w:sz w:val="30"/>
          <w:szCs w:val="30"/>
        </w:rPr>
        <w:t>层地下水</w:t>
      </w:r>
      <w:r>
        <w:rPr>
          <w:rFonts w:hint="default" w:ascii="Times New Roman" w:hAnsi="Times New Roman" w:eastAsia="仿宋" w:cs="Times New Roman"/>
          <w:sz w:val="30"/>
          <w:szCs w:val="30"/>
          <w:lang w:val="en-US" w:eastAsia="zh-CN"/>
        </w:rPr>
        <w:t>枯水期</w:t>
      </w:r>
      <w:r>
        <w:rPr>
          <w:rFonts w:hint="eastAsia" w:eastAsia="仿宋" w:cs="Times New Roman"/>
          <w:sz w:val="30"/>
          <w:szCs w:val="30"/>
          <w:lang w:val="en-US" w:eastAsia="zh-CN"/>
        </w:rPr>
        <w:t>（5月份）</w:t>
      </w:r>
      <w:r>
        <w:rPr>
          <w:rFonts w:hint="default" w:ascii="Times New Roman" w:hAnsi="Times New Roman" w:eastAsia="仿宋" w:cs="Times New Roman"/>
          <w:sz w:val="30"/>
          <w:szCs w:val="30"/>
          <w:lang w:val="en-US" w:eastAsia="zh-CN"/>
        </w:rPr>
        <w:t>较2017年同期水位上升2.90m</w:t>
      </w:r>
      <w:r>
        <w:rPr>
          <w:rFonts w:hint="eastAsia" w:eastAsia="仿宋" w:cs="Times New Roman"/>
          <w:sz w:val="30"/>
          <w:szCs w:val="30"/>
          <w:lang w:val="en-US" w:eastAsia="zh-CN"/>
        </w:rPr>
        <w:t>，</w:t>
      </w:r>
      <w:r>
        <w:rPr>
          <w:rFonts w:hint="default" w:ascii="Times New Roman" w:hAnsi="Times New Roman" w:eastAsia="仿宋" w:cs="Times New Roman"/>
          <w:sz w:val="30"/>
          <w:szCs w:val="30"/>
          <w:lang w:val="en-US" w:eastAsia="zh-CN"/>
        </w:rPr>
        <w:t>丰水期</w:t>
      </w:r>
      <w:r>
        <w:rPr>
          <w:rFonts w:hint="eastAsia" w:eastAsia="仿宋" w:cs="Times New Roman"/>
          <w:sz w:val="30"/>
          <w:szCs w:val="30"/>
          <w:lang w:val="en-US" w:eastAsia="zh-CN"/>
        </w:rPr>
        <w:t>（9月份）</w:t>
      </w:r>
      <w:r>
        <w:rPr>
          <w:rFonts w:hint="default" w:ascii="Times New Roman" w:hAnsi="Times New Roman" w:eastAsia="仿宋" w:cs="Times New Roman"/>
          <w:sz w:val="30"/>
          <w:szCs w:val="30"/>
          <w:lang w:val="en-US" w:eastAsia="zh-CN"/>
        </w:rPr>
        <w:t>较2017年同期水位上升0.81m。</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年郑州市各类水源供水总量为</w:t>
      </w:r>
      <w:r>
        <w:rPr>
          <w:rFonts w:hint="eastAsia" w:eastAsia="仿宋" w:cs="Times New Roman"/>
          <w:sz w:val="30"/>
          <w:szCs w:val="30"/>
          <w:lang w:val="en-US" w:eastAsia="zh-CN"/>
        </w:rPr>
        <w:t>20.7064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。其中：地表水供水总量</w:t>
      </w:r>
      <w:r>
        <w:rPr>
          <w:rFonts w:hint="eastAsia" w:eastAsia="仿宋" w:cs="Times New Roman"/>
          <w:sz w:val="30"/>
          <w:szCs w:val="30"/>
          <w:lang w:val="en-US" w:eastAsia="zh-CN"/>
        </w:rPr>
        <w:t>11.0503</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w:t>
      </w:r>
      <w:r>
        <w:rPr>
          <w:rFonts w:hint="eastAsia" w:eastAsia="仿宋" w:cs="Times New Roman"/>
          <w:sz w:val="30"/>
          <w:szCs w:val="30"/>
          <w:lang w:val="en-US" w:eastAsia="zh-CN"/>
        </w:rPr>
        <w:t>50.36</w:t>
      </w:r>
      <w:r>
        <w:rPr>
          <w:rFonts w:hint="default" w:ascii="Times New Roman" w:hAnsi="Times New Roman" w:eastAsia="仿宋" w:cs="Times New Roman"/>
          <w:sz w:val="30"/>
          <w:szCs w:val="30"/>
        </w:rPr>
        <w:t>%；地下水供水量为</w:t>
      </w:r>
      <w:r>
        <w:rPr>
          <w:rFonts w:hint="eastAsia" w:eastAsia="仿宋" w:cs="Times New Roman"/>
          <w:sz w:val="30"/>
          <w:szCs w:val="30"/>
          <w:lang w:val="en-US" w:eastAsia="zh-CN"/>
        </w:rPr>
        <w:t>7.0107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，占总供水量的3</w:t>
      </w:r>
      <w:r>
        <w:rPr>
          <w:rFonts w:hint="eastAsia" w:eastAsia="仿宋" w:cs="Times New Roman"/>
          <w:sz w:val="30"/>
          <w:szCs w:val="30"/>
          <w:lang w:val="en-US" w:eastAsia="zh-CN"/>
        </w:rPr>
        <w:t>3.9</w:t>
      </w:r>
      <w:r>
        <w:rPr>
          <w:rFonts w:hint="default" w:ascii="Times New Roman" w:hAnsi="Times New Roman" w:eastAsia="仿宋" w:cs="Times New Roman"/>
          <w:sz w:val="30"/>
          <w:szCs w:val="30"/>
        </w:rPr>
        <w:t>%；其它水源供水量为</w:t>
      </w:r>
      <w:r>
        <w:rPr>
          <w:rFonts w:hint="eastAsia" w:eastAsia="仿宋" w:cs="Times New Roman"/>
          <w:sz w:val="30"/>
          <w:szCs w:val="30"/>
          <w:lang w:val="en-US" w:eastAsia="zh-CN"/>
        </w:rPr>
        <w:t>2.6455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w:t>
      </w:r>
      <w:r>
        <w:rPr>
          <w:rFonts w:hint="default" w:ascii="Times New Roman" w:hAnsi="Times New Roman" w:eastAsia="仿宋" w:cs="Times New Roman"/>
          <w:sz w:val="30"/>
          <w:szCs w:val="30"/>
          <w:lang w:val="en-US" w:eastAsia="zh-CN"/>
        </w:rPr>
        <w:t>12.8</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w:t>
      </w:r>
      <w:r>
        <w:rPr>
          <w:rFonts w:hint="default" w:ascii="Times New Roman" w:hAnsi="Times New Roman" w:eastAsia="仿宋" w:cs="Times New Roman"/>
          <w:sz w:val="32"/>
          <w:szCs w:val="32"/>
        </w:rPr>
        <w:t>流域调水为</w:t>
      </w:r>
      <w:r>
        <w:rPr>
          <w:rFonts w:hint="default" w:ascii="Times New Roman" w:hAnsi="Times New Roman" w:eastAsia="仿宋" w:cs="Times New Roman"/>
          <w:sz w:val="32"/>
          <w:szCs w:val="32"/>
          <w:lang w:val="en-US" w:eastAsia="zh-CN"/>
        </w:rPr>
        <w:t>8.8049</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default" w:ascii="Times New Roman" w:hAnsi="Times New Roman" w:eastAsia="仿宋" w:cs="Times New Roman"/>
          <w:sz w:val="32"/>
          <w:szCs w:val="32"/>
        </w:rPr>
        <w:t>，其中引黄水量</w:t>
      </w:r>
      <w:r>
        <w:rPr>
          <w:rFonts w:hint="default" w:ascii="Times New Roman" w:hAnsi="Times New Roman" w:eastAsia="仿宋" w:cs="Times New Roman"/>
          <w:sz w:val="32"/>
          <w:szCs w:val="32"/>
          <w:lang w:val="en-US" w:eastAsia="zh-CN"/>
        </w:rPr>
        <w:t>3.2404</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default" w:ascii="Times New Roman" w:hAnsi="Times New Roman" w:eastAsia="仿宋" w:cs="Times New Roman"/>
          <w:sz w:val="32"/>
          <w:szCs w:val="32"/>
        </w:rPr>
        <w:t>，南水北调水量5.</w:t>
      </w:r>
      <w:r>
        <w:rPr>
          <w:rFonts w:hint="default" w:ascii="Times New Roman" w:hAnsi="Times New Roman" w:eastAsia="仿宋" w:cs="Times New Roman"/>
          <w:sz w:val="32"/>
          <w:szCs w:val="32"/>
          <w:lang w:val="en-US" w:eastAsia="zh-CN"/>
        </w:rPr>
        <w:t>5645</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default" w:ascii="Times New Roman" w:hAnsi="Times New Roman" w:eastAsia="仿宋" w:cs="Times New Roman"/>
          <w:sz w:val="32"/>
          <w:szCs w:val="32"/>
        </w:rPr>
        <w:t>。</w:t>
      </w:r>
    </w:p>
    <w:p>
      <w:pPr>
        <w:spacing w:line="360" w:lineRule="auto"/>
        <w:ind w:firstLine="602" w:firstLineChars="200"/>
        <w:rPr>
          <w:rFonts w:hint="default" w:ascii="Times New Roman" w:hAnsi="Times New Roman" w:eastAsia="仿宋" w:cs="Times New Roman"/>
          <w:sz w:val="30"/>
          <w:szCs w:val="30"/>
        </w:rPr>
      </w:pP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年度郑州市用水总量为</w:t>
      </w:r>
      <w:r>
        <w:rPr>
          <w:rFonts w:hint="eastAsia" w:eastAsia="仿宋" w:cs="Times New Roman"/>
          <w:b/>
          <w:sz w:val="30"/>
          <w:szCs w:val="30"/>
          <w:lang w:val="en-US" w:eastAsia="zh-CN"/>
        </w:rPr>
        <w:t>20.7064</w:t>
      </w:r>
      <w:r>
        <w:rPr>
          <w:rFonts w:hint="default" w:ascii="Times New Roman" w:hAnsi="Times New Roman" w:eastAsia="仿宋" w:cs="Times New Roman"/>
          <w:b/>
          <w:sz w:val="30"/>
          <w:szCs w:val="30"/>
        </w:rPr>
        <w:t>亿m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，符合省下达给郑州市</w:t>
      </w: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年度最严格水资源管理控制目标用水总量目标值21.</w:t>
      </w:r>
      <w:r>
        <w:rPr>
          <w:rFonts w:hint="default" w:ascii="Times New Roman" w:hAnsi="Times New Roman" w:eastAsia="仿宋" w:cs="Times New Roman"/>
          <w:b/>
          <w:sz w:val="30"/>
          <w:szCs w:val="30"/>
          <w:lang w:val="en-US" w:eastAsia="zh-CN"/>
        </w:rPr>
        <w:t>89</w:t>
      </w:r>
      <w:r>
        <w:rPr>
          <w:rFonts w:hint="default" w:ascii="Times New Roman" w:hAnsi="Times New Roman" w:eastAsia="仿宋" w:cs="Times New Roman"/>
          <w:b/>
          <w:sz w:val="30"/>
          <w:szCs w:val="30"/>
        </w:rPr>
        <w:t>亿m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的要求。</w:t>
      </w:r>
      <w:r>
        <w:rPr>
          <w:rFonts w:hint="default" w:ascii="Times New Roman" w:hAnsi="Times New Roman" w:eastAsia="仿宋" w:cs="Times New Roman"/>
          <w:sz w:val="30"/>
          <w:szCs w:val="30"/>
        </w:rPr>
        <w:t>在分项用水中，农业用水量为</w:t>
      </w:r>
      <w:r>
        <w:rPr>
          <w:rFonts w:hint="eastAsia" w:eastAsia="仿宋" w:cs="Times New Roman"/>
          <w:sz w:val="30"/>
          <w:szCs w:val="30"/>
          <w:lang w:val="en-US" w:eastAsia="zh-CN"/>
        </w:rPr>
        <w:t>4.2318</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；工业用水量为</w:t>
      </w:r>
      <w:r>
        <w:rPr>
          <w:rFonts w:hint="eastAsia" w:eastAsia="仿宋" w:cs="Times New Roman"/>
          <w:sz w:val="30"/>
          <w:szCs w:val="30"/>
          <w:lang w:val="en-US" w:eastAsia="zh-CN"/>
        </w:rPr>
        <w:t>5.2669</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；生活用水量</w:t>
      </w:r>
      <w:r>
        <w:rPr>
          <w:rFonts w:hint="eastAsia" w:eastAsia="仿宋" w:cs="Times New Roman"/>
          <w:sz w:val="30"/>
          <w:szCs w:val="30"/>
          <w:lang w:val="en-US" w:eastAsia="zh-CN"/>
        </w:rPr>
        <w:t>6.5996</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；生态环境用水</w:t>
      </w:r>
      <w:r>
        <w:rPr>
          <w:rFonts w:hint="default" w:ascii="Times New Roman" w:hAnsi="Times New Roman" w:eastAsia="仿宋" w:cs="Times New Roman"/>
          <w:sz w:val="30"/>
          <w:szCs w:val="30"/>
          <w:lang w:val="en-US" w:eastAsia="zh-CN"/>
        </w:rPr>
        <w:t>4.</w:t>
      </w:r>
      <w:r>
        <w:rPr>
          <w:rFonts w:hint="eastAsia" w:eastAsia="仿宋" w:cs="Times New Roman"/>
          <w:sz w:val="30"/>
          <w:szCs w:val="30"/>
          <w:lang w:val="en-US" w:eastAsia="zh-CN"/>
        </w:rPr>
        <w:t>6081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p>
    <w:p>
      <w:pPr>
        <w:spacing w:line="360" w:lineRule="auto"/>
        <w:ind w:firstLine="600" w:firstLineChars="200"/>
        <w:rPr>
          <w:rFonts w:hint="default" w:ascii="Times New Roman" w:hAnsi="Times New Roman" w:eastAsia="仿宋" w:cs="Times New Roman"/>
          <w:sz w:val="30"/>
          <w:szCs w:val="30"/>
          <w:highlight w:val="none"/>
        </w:rPr>
      </w:pPr>
      <w:r>
        <w:rPr>
          <w:rFonts w:hint="default" w:ascii="Times New Roman" w:hAnsi="Times New Roman" w:eastAsia="仿宋" w:cs="Times New Roman"/>
          <w:sz w:val="30"/>
          <w:szCs w:val="30"/>
          <w:highlight w:val="none"/>
          <w:lang w:eastAsia="zh-CN"/>
        </w:rPr>
        <w:t>2018</w:t>
      </w:r>
      <w:r>
        <w:rPr>
          <w:rFonts w:hint="default" w:ascii="Times New Roman" w:hAnsi="Times New Roman" w:eastAsia="仿宋" w:cs="Times New Roman"/>
          <w:sz w:val="30"/>
          <w:szCs w:val="30"/>
          <w:highlight w:val="none"/>
        </w:rPr>
        <w:t>年度郑州市耗水总量估算为</w:t>
      </w:r>
      <w:r>
        <w:rPr>
          <w:rFonts w:hint="eastAsia" w:eastAsia="仿宋" w:cs="Times New Roman"/>
          <w:sz w:val="30"/>
          <w:szCs w:val="30"/>
          <w:highlight w:val="none"/>
          <w:lang w:val="en-US" w:eastAsia="zh-CN"/>
        </w:rPr>
        <w:t>9.2508</w:t>
      </w:r>
      <w:r>
        <w:rPr>
          <w:rFonts w:hint="default" w:ascii="Times New Roman" w:hAnsi="Times New Roman" w:eastAsia="仿宋" w:cs="Times New Roman"/>
          <w:sz w:val="30"/>
          <w:szCs w:val="30"/>
          <w:highlight w:val="none"/>
        </w:rPr>
        <w:t>亿m</w:t>
      </w:r>
      <w:r>
        <w:rPr>
          <w:rFonts w:hint="default" w:ascii="Times New Roman" w:hAnsi="Times New Roman" w:eastAsia="仿宋" w:cs="Times New Roman"/>
          <w:sz w:val="30"/>
          <w:szCs w:val="30"/>
          <w:highlight w:val="none"/>
          <w:vertAlign w:val="superscript"/>
        </w:rPr>
        <w:t>3</w:t>
      </w:r>
      <w:r>
        <w:rPr>
          <w:rFonts w:hint="default" w:ascii="Times New Roman" w:hAnsi="Times New Roman" w:eastAsia="仿宋" w:cs="Times New Roman"/>
          <w:sz w:val="30"/>
          <w:szCs w:val="30"/>
          <w:highlight w:val="none"/>
        </w:rPr>
        <w:t>，占用水量的</w:t>
      </w:r>
      <w:r>
        <w:rPr>
          <w:rFonts w:hint="default" w:ascii="Times New Roman" w:hAnsi="Times New Roman" w:eastAsia="仿宋" w:cs="Times New Roman"/>
          <w:sz w:val="30"/>
          <w:szCs w:val="30"/>
          <w:highlight w:val="none"/>
          <w:lang w:val="en-US" w:eastAsia="zh-CN"/>
        </w:rPr>
        <w:t>44.</w:t>
      </w:r>
      <w:r>
        <w:rPr>
          <w:rFonts w:hint="eastAsia" w:eastAsia="仿宋" w:cs="Times New Roman"/>
          <w:sz w:val="30"/>
          <w:szCs w:val="30"/>
          <w:highlight w:val="none"/>
          <w:lang w:val="en-US" w:eastAsia="zh-CN"/>
        </w:rPr>
        <w:t>7</w:t>
      </w:r>
      <w:r>
        <w:rPr>
          <w:rFonts w:hint="default" w:ascii="Times New Roman" w:hAnsi="Times New Roman" w:eastAsia="仿宋" w:cs="Times New Roman"/>
          <w:sz w:val="30"/>
          <w:szCs w:val="30"/>
          <w:highlight w:val="none"/>
        </w:rPr>
        <w:t>%。废污水排放量</w:t>
      </w:r>
      <w:r>
        <w:rPr>
          <w:rFonts w:hint="default" w:ascii="Times New Roman" w:hAnsi="Times New Roman" w:eastAsia="仿宋" w:cs="Times New Roman"/>
          <w:sz w:val="30"/>
          <w:szCs w:val="30"/>
          <w:highlight w:val="none"/>
          <w:lang w:val="en-US" w:eastAsia="zh-CN"/>
        </w:rPr>
        <w:t>估算</w:t>
      </w:r>
      <w:r>
        <w:rPr>
          <w:rFonts w:hint="default" w:ascii="Times New Roman" w:hAnsi="Times New Roman" w:eastAsia="仿宋" w:cs="Times New Roman"/>
          <w:sz w:val="30"/>
          <w:szCs w:val="30"/>
          <w:highlight w:val="none"/>
        </w:rPr>
        <w:t>为</w:t>
      </w:r>
      <w:r>
        <w:rPr>
          <w:rFonts w:hint="eastAsia" w:eastAsia="仿宋" w:cs="Times New Roman"/>
          <w:sz w:val="30"/>
          <w:szCs w:val="30"/>
          <w:highlight w:val="none"/>
          <w:lang w:val="en-US" w:eastAsia="zh-CN"/>
        </w:rPr>
        <w:t>8.3961</w:t>
      </w:r>
      <w:r>
        <w:rPr>
          <w:rFonts w:hint="default" w:ascii="Times New Roman" w:hAnsi="Times New Roman" w:eastAsia="仿宋" w:cs="Times New Roman"/>
          <w:sz w:val="30"/>
          <w:szCs w:val="30"/>
          <w:highlight w:val="none"/>
        </w:rPr>
        <w:t>亿m</w:t>
      </w:r>
      <w:r>
        <w:rPr>
          <w:rFonts w:hint="default" w:ascii="Times New Roman" w:hAnsi="Times New Roman" w:eastAsia="仿宋" w:cs="Times New Roman"/>
          <w:sz w:val="30"/>
          <w:szCs w:val="30"/>
          <w:highlight w:val="none"/>
          <w:vertAlign w:val="superscript"/>
        </w:rPr>
        <w:t>3</w:t>
      </w:r>
      <w:r>
        <w:rPr>
          <w:rFonts w:hint="default" w:ascii="Times New Roman" w:hAnsi="Times New Roman" w:eastAsia="仿宋" w:cs="Times New Roman"/>
          <w:sz w:val="30"/>
          <w:szCs w:val="30"/>
          <w:highlight w:val="none"/>
        </w:rPr>
        <w:t>，平均排放量为</w:t>
      </w:r>
      <w:r>
        <w:rPr>
          <w:rFonts w:hint="eastAsia" w:eastAsia="仿宋" w:cs="Times New Roman"/>
          <w:sz w:val="30"/>
          <w:szCs w:val="30"/>
          <w:highlight w:val="none"/>
          <w:lang w:val="en-US" w:eastAsia="zh-CN"/>
        </w:rPr>
        <w:t>230</w:t>
      </w:r>
      <w:r>
        <w:rPr>
          <w:rFonts w:hint="default" w:ascii="Times New Roman" w:hAnsi="Times New Roman" w:eastAsia="仿宋" w:cs="Times New Roman"/>
          <w:sz w:val="30"/>
          <w:szCs w:val="30"/>
          <w:highlight w:val="none"/>
        </w:rPr>
        <w:t>万m</w:t>
      </w:r>
      <w:r>
        <w:rPr>
          <w:rFonts w:hint="default" w:ascii="Times New Roman" w:hAnsi="Times New Roman" w:eastAsia="仿宋" w:cs="Times New Roman"/>
          <w:sz w:val="30"/>
          <w:szCs w:val="30"/>
          <w:highlight w:val="none"/>
          <w:vertAlign w:val="superscript"/>
        </w:rPr>
        <w:t>3</w:t>
      </w:r>
      <w:r>
        <w:rPr>
          <w:rFonts w:hint="default" w:ascii="Times New Roman" w:hAnsi="Times New Roman" w:eastAsia="仿宋" w:cs="Times New Roman"/>
          <w:sz w:val="30"/>
          <w:szCs w:val="30"/>
          <w:highlight w:val="none"/>
        </w:rPr>
        <w:t>/d。</w:t>
      </w:r>
    </w:p>
    <w:p>
      <w:pPr>
        <w:spacing w:line="360" w:lineRule="auto"/>
        <w:ind w:firstLine="600" w:firstLineChars="200"/>
        <w:rPr>
          <w:rFonts w:hint="default" w:ascii="Times New Roman" w:hAnsi="Times New Roman" w:eastAsia="仿宋" w:cs="Times New Roman"/>
          <w:sz w:val="30"/>
          <w:szCs w:val="30"/>
        </w:rPr>
      </w:pPr>
      <w:r>
        <w:rPr>
          <w:rFonts w:hint="eastAsia" w:eastAsia="仿宋" w:cs="Times New Roman"/>
          <w:sz w:val="30"/>
          <w:szCs w:val="30"/>
          <w:lang w:val="en-US" w:eastAsia="zh-CN"/>
        </w:rPr>
        <w:t>2</w:t>
      </w:r>
      <w:r>
        <w:rPr>
          <w:rFonts w:hint="default" w:ascii="Times New Roman" w:hAnsi="Times New Roman" w:eastAsia="仿宋" w:cs="Times New Roman"/>
          <w:sz w:val="30"/>
          <w:szCs w:val="30"/>
          <w:lang w:eastAsia="zh-CN"/>
        </w:rPr>
        <w:t>018</w:t>
      </w:r>
      <w:r>
        <w:rPr>
          <w:rFonts w:hint="default" w:ascii="Times New Roman" w:hAnsi="Times New Roman" w:eastAsia="仿宋" w:cs="Times New Roman"/>
          <w:sz w:val="30"/>
          <w:szCs w:val="30"/>
        </w:rPr>
        <w:t>年郑州市人均用水量为</w:t>
      </w:r>
      <w:r>
        <w:rPr>
          <w:rFonts w:hint="eastAsia" w:eastAsia="仿宋" w:cs="Times New Roman"/>
          <w:sz w:val="30"/>
          <w:szCs w:val="30"/>
          <w:lang w:val="en-US" w:eastAsia="zh-CN"/>
        </w:rPr>
        <w:t>204</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lang w:eastAsia="zh-CN"/>
        </w:rPr>
        <w:t>；</w:t>
      </w:r>
      <w:r>
        <w:rPr>
          <w:rFonts w:hint="default" w:ascii="Times New Roman" w:hAnsi="Times New Roman" w:eastAsia="仿宋" w:cs="Times New Roman"/>
          <w:sz w:val="30"/>
          <w:szCs w:val="30"/>
        </w:rPr>
        <w:t>万元GDP（当年价</w:t>
      </w:r>
      <w:r>
        <w:rPr>
          <w:rFonts w:hint="eastAsia" w:eastAsia="仿宋" w:cs="Times New Roman"/>
          <w:sz w:val="30"/>
          <w:szCs w:val="30"/>
          <w:lang w:eastAsia="zh-CN"/>
        </w:rPr>
        <w:t>）</w:t>
      </w:r>
      <w:r>
        <w:rPr>
          <w:rFonts w:hint="default" w:ascii="Times New Roman" w:hAnsi="Times New Roman" w:eastAsia="仿宋" w:cs="Times New Roman"/>
          <w:sz w:val="30"/>
          <w:szCs w:val="30"/>
        </w:rPr>
        <w:t>用水量</w:t>
      </w:r>
      <w:r>
        <w:rPr>
          <w:rFonts w:hint="eastAsia" w:eastAsia="仿宋" w:cs="Times New Roman"/>
          <w:sz w:val="30"/>
          <w:szCs w:val="30"/>
          <w:lang w:val="en-US" w:eastAsia="zh-CN"/>
        </w:rPr>
        <w:t>按GDP用水口径统计</w:t>
      </w:r>
      <w:r>
        <w:rPr>
          <w:rFonts w:hint="default" w:ascii="Times New Roman" w:hAnsi="Times New Roman" w:eastAsia="仿宋" w:cs="Times New Roman"/>
          <w:sz w:val="30"/>
          <w:szCs w:val="30"/>
        </w:rPr>
        <w:t>为1</w:t>
      </w:r>
      <w:r>
        <w:rPr>
          <w:rFonts w:hint="default" w:ascii="Times New Roman" w:hAnsi="Times New Roman" w:eastAsia="仿宋" w:cs="Times New Roman"/>
          <w:sz w:val="30"/>
          <w:szCs w:val="30"/>
          <w:lang w:val="en-US" w:eastAsia="zh-CN"/>
        </w:rPr>
        <w:t>0.</w:t>
      </w:r>
      <w:r>
        <w:rPr>
          <w:rFonts w:hint="eastAsia" w:eastAsia="仿宋" w:cs="Times New Roman"/>
          <w:sz w:val="30"/>
          <w:szCs w:val="30"/>
          <w:lang w:val="en-US" w:eastAsia="zh-CN"/>
        </w:rPr>
        <w:t>6</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vertAlign w:val="baseline"/>
          <w:lang w:eastAsia="zh-CN"/>
        </w:rPr>
        <w:t>，</w:t>
      </w:r>
      <w:r>
        <w:rPr>
          <w:rFonts w:hint="eastAsia" w:eastAsia="仿宋" w:cs="Times New Roman"/>
          <w:sz w:val="30"/>
          <w:szCs w:val="30"/>
          <w:vertAlign w:val="baseline"/>
          <w:lang w:val="en-US" w:eastAsia="zh-CN"/>
        </w:rPr>
        <w:t>按用水全口径统计为</w:t>
      </w:r>
      <w:r>
        <w:rPr>
          <w:rFonts w:hint="eastAsia" w:eastAsia="仿宋" w:cs="Times New Roman"/>
          <w:sz w:val="30"/>
          <w:szCs w:val="30"/>
          <w:lang w:val="en-US" w:eastAsia="zh-CN"/>
        </w:rPr>
        <w:t>20.4</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lang w:eastAsia="zh-CN"/>
        </w:rPr>
        <w:t>；</w:t>
      </w:r>
      <w:r>
        <w:rPr>
          <w:rFonts w:hint="default" w:ascii="Times New Roman" w:hAnsi="Times New Roman" w:eastAsia="仿宋" w:cs="Times New Roman"/>
          <w:sz w:val="30"/>
          <w:szCs w:val="30"/>
        </w:rPr>
        <w:t>万元工业增加值（当年价）用水量</w:t>
      </w:r>
      <w:r>
        <w:rPr>
          <w:rFonts w:hint="default" w:ascii="Times New Roman" w:hAnsi="Times New Roman" w:eastAsia="仿宋" w:cs="Times New Roman"/>
          <w:sz w:val="30"/>
          <w:szCs w:val="30"/>
          <w:lang w:val="en-US" w:eastAsia="zh-CN"/>
        </w:rPr>
        <w:t>14.</w:t>
      </w:r>
      <w:r>
        <w:rPr>
          <w:rFonts w:hint="eastAsia" w:eastAsia="仿宋" w:cs="Times New Roman"/>
          <w:sz w:val="30"/>
          <w:szCs w:val="30"/>
          <w:lang w:val="en-US" w:eastAsia="zh-CN"/>
        </w:rPr>
        <w:t>1</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lang w:eastAsia="zh-CN"/>
        </w:rPr>
        <w:t>（</w:t>
      </w:r>
      <w:r>
        <w:rPr>
          <w:rFonts w:hint="eastAsia" w:eastAsia="仿宋" w:cs="Times New Roman"/>
          <w:sz w:val="30"/>
          <w:szCs w:val="30"/>
          <w:lang w:val="en-US" w:eastAsia="zh-CN"/>
        </w:rPr>
        <w:t>含火电</w:t>
      </w:r>
      <w:r>
        <w:rPr>
          <w:rFonts w:hint="eastAsia" w:eastAsia="仿宋" w:cs="Times New Roman"/>
          <w:sz w:val="30"/>
          <w:szCs w:val="30"/>
          <w:lang w:eastAsia="zh-CN"/>
        </w:rPr>
        <w:t>）；</w:t>
      </w:r>
      <w:r>
        <w:rPr>
          <w:rFonts w:hint="default" w:ascii="Times New Roman" w:hAnsi="Times New Roman" w:eastAsia="仿宋" w:cs="Times New Roman"/>
          <w:sz w:val="30"/>
          <w:szCs w:val="30"/>
        </w:rPr>
        <w:t>城镇</w:t>
      </w:r>
      <w:r>
        <w:rPr>
          <w:rFonts w:hint="eastAsia" w:eastAsia="仿宋" w:cs="Times New Roman"/>
          <w:sz w:val="30"/>
          <w:szCs w:val="30"/>
          <w:lang w:val="en-US" w:eastAsia="zh-CN"/>
        </w:rPr>
        <w:t>综合生活人均用水207</w:t>
      </w:r>
      <w:r>
        <w:rPr>
          <w:rFonts w:hint="default" w:ascii="Times New Roman" w:hAnsi="Times New Roman" w:eastAsia="仿宋" w:cs="Times New Roman"/>
          <w:sz w:val="30"/>
          <w:szCs w:val="30"/>
        </w:rPr>
        <w:t>L/d。</w:t>
      </w:r>
    </w:p>
    <w:p>
      <w:pPr>
        <w:spacing w:line="360" w:lineRule="auto"/>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年郑州市万元GDP用水量按2015年不变价折算后为11.</w:t>
      </w:r>
      <w:r>
        <w:rPr>
          <w:rFonts w:hint="default" w:ascii="Times New Roman" w:hAnsi="Times New Roman" w:eastAsia="仿宋" w:cs="Times New Roman"/>
          <w:b/>
          <w:sz w:val="30"/>
          <w:szCs w:val="30"/>
          <w:lang w:val="en-US" w:eastAsia="zh-CN"/>
        </w:rPr>
        <w:t>1</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，达到河南省</w:t>
      </w: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年度最严格水资源管理控制目标中万元GDP用水量1</w:t>
      </w:r>
      <w:r>
        <w:rPr>
          <w:rFonts w:hint="default" w:ascii="Times New Roman" w:hAnsi="Times New Roman" w:eastAsia="仿宋" w:cs="Times New Roman"/>
          <w:b/>
          <w:sz w:val="30"/>
          <w:szCs w:val="30"/>
          <w:lang w:val="en-US" w:eastAsia="zh-CN"/>
        </w:rPr>
        <w:t>3.6</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目标要求。</w:t>
      </w:r>
    </w:p>
    <w:p>
      <w:pPr>
        <w:spacing w:line="360" w:lineRule="auto"/>
        <w:ind w:firstLine="602" w:firstLineChars="200"/>
        <w:rPr>
          <w:rFonts w:hint="default" w:ascii="Times New Roman" w:hAnsi="Times New Roman" w:eastAsia="仿宋" w:cs="Times New Roman"/>
          <w:sz w:val="30"/>
          <w:szCs w:val="30"/>
        </w:rPr>
      </w:pP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年郑州市万元工业增加值用水量按2015年不变价折算后为1</w:t>
      </w:r>
      <w:r>
        <w:rPr>
          <w:rFonts w:hint="default" w:ascii="Times New Roman" w:hAnsi="Times New Roman" w:eastAsia="仿宋" w:cs="Times New Roman"/>
          <w:b/>
          <w:sz w:val="30"/>
          <w:szCs w:val="30"/>
          <w:lang w:val="en-US" w:eastAsia="zh-CN"/>
        </w:rPr>
        <w:t>2.0</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，达到河南省</w:t>
      </w: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年度最严格水资源管理控制目标中万元工业增加值用水量</w:t>
      </w:r>
      <w:r>
        <w:rPr>
          <w:rFonts w:hint="default" w:ascii="Times New Roman" w:hAnsi="Times New Roman" w:eastAsia="仿宋" w:cs="Times New Roman"/>
          <w:b/>
          <w:sz w:val="30"/>
          <w:szCs w:val="30"/>
          <w:lang w:val="en-US" w:eastAsia="zh-CN"/>
        </w:rPr>
        <w:t>14.9</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目标要求。</w:t>
      </w:r>
    </w:p>
    <w:p>
      <w:pPr>
        <w:spacing w:line="360" w:lineRule="auto"/>
        <w:ind w:firstLine="602" w:firstLineChars="200"/>
        <w:rPr>
          <w:rFonts w:hint="default"/>
        </w:rPr>
      </w:pP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年郑州市列入省考核地表水功能区</w:t>
      </w:r>
      <w:r>
        <w:rPr>
          <w:rFonts w:hint="eastAsia" w:eastAsia="仿宋" w:cs="Times New Roman"/>
          <w:b/>
          <w:sz w:val="30"/>
          <w:szCs w:val="30"/>
          <w:lang w:val="en-US" w:eastAsia="zh-CN"/>
        </w:rPr>
        <w:t>11</w:t>
      </w:r>
      <w:r>
        <w:rPr>
          <w:rFonts w:hint="default" w:ascii="Times New Roman" w:hAnsi="Times New Roman" w:eastAsia="仿宋" w:cs="Times New Roman"/>
          <w:b/>
          <w:sz w:val="30"/>
          <w:szCs w:val="30"/>
        </w:rPr>
        <w:t>个，除1个水功能区全年断流，不参与达标评价外，水功能区达标率为</w:t>
      </w:r>
      <w:r>
        <w:rPr>
          <w:rFonts w:hint="eastAsia" w:eastAsia="仿宋" w:cs="Times New Roman"/>
          <w:b/>
          <w:sz w:val="30"/>
          <w:szCs w:val="30"/>
          <w:lang w:val="en-US" w:eastAsia="zh-CN"/>
        </w:rPr>
        <w:t>80.0</w:t>
      </w:r>
      <w:r>
        <w:rPr>
          <w:rFonts w:hint="default" w:ascii="Times New Roman" w:hAnsi="Times New Roman" w:eastAsia="仿宋" w:cs="Times New Roman"/>
          <w:b/>
          <w:sz w:val="30"/>
          <w:szCs w:val="30"/>
        </w:rPr>
        <w:t>%，达到河南省</w:t>
      </w: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年度最严格水资源管理控制目标水功能区达标率</w:t>
      </w:r>
      <w:r>
        <w:rPr>
          <w:rFonts w:hint="eastAsia" w:eastAsia="仿宋" w:cs="Times New Roman"/>
          <w:b/>
          <w:sz w:val="30"/>
          <w:szCs w:val="30"/>
          <w:lang w:val="en-US" w:eastAsia="zh-CN"/>
        </w:rPr>
        <w:t>54.54</w:t>
      </w:r>
      <w:r>
        <w:rPr>
          <w:rFonts w:hint="default" w:ascii="Times New Roman" w:hAnsi="Times New Roman" w:eastAsia="仿宋" w:cs="Times New Roman"/>
          <w:b/>
          <w:sz w:val="30"/>
          <w:szCs w:val="30"/>
        </w:rPr>
        <w:t>%的要求。</w:t>
      </w:r>
    </w:p>
    <w:p>
      <w:pPr>
        <w:spacing w:line="360" w:lineRule="auto"/>
        <w:ind w:firstLine="600" w:firstLineChars="200"/>
        <w:jc w:val="left"/>
        <w:rPr>
          <w:rFonts w:hint="default" w:ascii="Times New Roman" w:hAnsi="Times New Roman" w:eastAsia="仿宋_GB2312" w:cs="Times New Roman"/>
          <w:sz w:val="30"/>
          <w:szCs w:val="30"/>
          <w:highlight w:val="yellow"/>
        </w:rPr>
        <w:sectPr>
          <w:headerReference r:id="rId7" w:type="default"/>
          <w:footerReference r:id="rId8" w:type="default"/>
          <w:pgSz w:w="11906" w:h="16838"/>
          <w:pgMar w:top="1418" w:right="1247" w:bottom="1418" w:left="1247" w:header="851" w:footer="907" w:gutter="0"/>
          <w:pgBorders>
            <w:top w:val="none" w:sz="0" w:space="0"/>
            <w:left w:val="none" w:sz="0" w:space="0"/>
            <w:bottom w:val="none" w:sz="0" w:space="0"/>
            <w:right w:val="none" w:sz="0" w:space="0"/>
          </w:pgBorders>
          <w:pgNumType w:start="1"/>
          <w:cols w:space="425" w:num="1"/>
          <w:docGrid w:linePitch="312" w:charSpace="0"/>
        </w:sectPr>
      </w:pPr>
    </w:p>
    <w:p>
      <w:pPr>
        <w:pStyle w:val="3"/>
        <w:spacing w:before="0" w:after="0" w:line="360" w:lineRule="auto"/>
        <w:jc w:val="center"/>
        <w:rPr>
          <w:rFonts w:hint="default" w:ascii="Times New Roman" w:hAnsi="Times New Roman" w:eastAsia="黑体" w:cs="Times New Roman"/>
          <w:b w:val="0"/>
        </w:rPr>
      </w:pPr>
      <w:bookmarkStart w:id="2" w:name="_Toc9113"/>
      <w:r>
        <w:rPr>
          <w:rFonts w:hint="default" w:ascii="Times New Roman" w:hAnsi="Times New Roman" w:eastAsia="黑体" w:cs="Times New Roman"/>
          <w:b w:val="0"/>
        </w:rPr>
        <w:t>2 水资源量</w:t>
      </w:r>
      <w:bookmarkEnd w:id="2"/>
    </w:p>
    <w:p>
      <w:pPr>
        <w:pStyle w:val="4"/>
        <w:spacing w:before="0" w:after="0" w:line="360" w:lineRule="auto"/>
        <w:jc w:val="left"/>
        <w:rPr>
          <w:rFonts w:hint="default" w:ascii="Times New Roman" w:hAnsi="Times New Roman" w:cs="Times New Roman"/>
          <w:b w:val="0"/>
        </w:rPr>
      </w:pPr>
      <w:bookmarkStart w:id="3" w:name="_Toc8086"/>
      <w:r>
        <w:rPr>
          <w:rFonts w:hint="default" w:ascii="Times New Roman" w:hAnsi="Times New Roman" w:cs="Times New Roman"/>
          <w:b w:val="0"/>
        </w:rPr>
        <w:t>2.1 降水量</w:t>
      </w:r>
      <w:bookmarkEnd w:id="3"/>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年郑州市面平均年降水量为</w:t>
      </w:r>
      <w:r>
        <w:rPr>
          <w:rFonts w:hint="eastAsia" w:eastAsia="仿宋" w:cs="Times New Roman"/>
          <w:sz w:val="30"/>
          <w:szCs w:val="30"/>
          <w:lang w:val="en-US" w:eastAsia="zh-CN"/>
        </w:rPr>
        <w:t>559.3</w:t>
      </w:r>
      <w:r>
        <w:rPr>
          <w:rFonts w:hint="default" w:ascii="Times New Roman" w:hAnsi="Times New Roman" w:eastAsia="仿宋" w:cs="Times New Roman"/>
          <w:sz w:val="30"/>
          <w:szCs w:val="30"/>
        </w:rPr>
        <w:t>mm，折合降水总量为</w:t>
      </w:r>
      <w:r>
        <w:rPr>
          <w:rFonts w:hint="eastAsia" w:eastAsia="仿宋" w:cs="Times New Roman"/>
          <w:sz w:val="30"/>
          <w:szCs w:val="30"/>
          <w:lang w:val="en-US" w:eastAsia="zh-CN"/>
        </w:rPr>
        <w:t>42.0102</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，比上年</w:t>
      </w:r>
      <w:r>
        <w:rPr>
          <w:rFonts w:hint="default" w:ascii="Times New Roman" w:hAnsi="Times New Roman" w:eastAsia="仿宋" w:cs="Times New Roman"/>
          <w:sz w:val="30"/>
          <w:szCs w:val="30"/>
          <w:lang w:val="en-US" w:eastAsia="zh-CN"/>
        </w:rPr>
        <w:t>增加</w:t>
      </w:r>
      <w:r>
        <w:rPr>
          <w:rFonts w:hint="eastAsia" w:eastAsia="仿宋" w:cs="Times New Roman"/>
          <w:sz w:val="30"/>
          <w:szCs w:val="30"/>
          <w:lang w:val="en-US" w:eastAsia="zh-CN"/>
        </w:rPr>
        <w:t>6.5</w:t>
      </w:r>
      <w:r>
        <w:rPr>
          <w:rFonts w:hint="default" w:ascii="Times New Roman" w:hAnsi="Times New Roman" w:eastAsia="仿宋" w:cs="Times New Roman"/>
          <w:sz w:val="30"/>
          <w:szCs w:val="30"/>
        </w:rPr>
        <w:t>%，比</w:t>
      </w:r>
      <w:r>
        <w:rPr>
          <w:rFonts w:hint="eastAsia" w:eastAsia="仿宋" w:cs="Times New Roman"/>
          <w:sz w:val="30"/>
          <w:szCs w:val="30"/>
          <w:lang w:eastAsia="zh-CN"/>
        </w:rPr>
        <w:t>多年均值（</w:t>
      </w:r>
      <w:r>
        <w:rPr>
          <w:rFonts w:hint="eastAsia" w:eastAsia="仿宋" w:cs="Times New Roman"/>
          <w:sz w:val="30"/>
          <w:szCs w:val="30"/>
          <w:lang w:val="en-US" w:eastAsia="zh-CN"/>
        </w:rPr>
        <w:t>1956～2000年系列</w:t>
      </w:r>
      <w:r>
        <w:rPr>
          <w:rFonts w:hint="eastAsia" w:eastAsia="仿宋" w:cs="Times New Roman"/>
          <w:sz w:val="30"/>
          <w:szCs w:val="30"/>
          <w:lang w:eastAsia="zh-CN"/>
        </w:rPr>
        <w:t>）</w:t>
      </w:r>
      <w:r>
        <w:rPr>
          <w:rFonts w:hint="default" w:ascii="Times New Roman" w:hAnsi="Times New Roman" w:eastAsia="仿宋" w:cs="Times New Roman"/>
          <w:sz w:val="30"/>
          <w:szCs w:val="30"/>
        </w:rPr>
        <w:t>6</w:t>
      </w:r>
      <w:r>
        <w:rPr>
          <w:rFonts w:hint="eastAsia" w:eastAsia="仿宋" w:cs="Times New Roman"/>
          <w:sz w:val="30"/>
          <w:szCs w:val="30"/>
          <w:lang w:val="en-US" w:eastAsia="zh-CN"/>
        </w:rPr>
        <w:t>35.6</w:t>
      </w:r>
      <w:r>
        <w:rPr>
          <w:rFonts w:hint="default" w:ascii="Times New Roman" w:hAnsi="Times New Roman" w:eastAsia="仿宋" w:cs="Times New Roman"/>
          <w:sz w:val="30"/>
          <w:szCs w:val="30"/>
        </w:rPr>
        <w:t>mm减少</w:t>
      </w:r>
      <w:r>
        <w:rPr>
          <w:rFonts w:hint="eastAsia" w:eastAsia="仿宋" w:cs="Times New Roman"/>
          <w:sz w:val="30"/>
          <w:szCs w:val="30"/>
          <w:lang w:val="en-US" w:eastAsia="zh-CN"/>
        </w:rPr>
        <w:t>12.0</w:t>
      </w:r>
      <w:r>
        <w:rPr>
          <w:rFonts w:hint="default" w:ascii="Times New Roman" w:hAnsi="Times New Roman" w:eastAsia="仿宋" w:cs="Times New Roman"/>
          <w:sz w:val="30"/>
          <w:szCs w:val="30"/>
        </w:rPr>
        <w:t>%，属</w:t>
      </w:r>
      <w:r>
        <w:rPr>
          <w:rFonts w:hint="default" w:ascii="Times New Roman" w:hAnsi="Times New Roman" w:eastAsia="仿宋" w:cs="Times New Roman"/>
          <w:sz w:val="30"/>
          <w:szCs w:val="30"/>
          <w:lang w:val="en-US" w:eastAsia="zh-CN"/>
        </w:rPr>
        <w:t>平水</w:t>
      </w:r>
      <w:r>
        <w:rPr>
          <w:rFonts w:hint="default" w:ascii="Times New Roman" w:hAnsi="Times New Roman" w:eastAsia="仿宋" w:cs="Times New Roman"/>
          <w:sz w:val="30"/>
          <w:szCs w:val="30"/>
        </w:rPr>
        <w:t>年份。各行政分区降水量见表1。</w:t>
      </w:r>
    </w:p>
    <w:p>
      <w:pPr>
        <w:pStyle w:val="2"/>
        <w:spacing w:line="360" w:lineRule="auto"/>
        <w:ind w:left="0" w:leftChars="0" w:firstLine="0" w:firstLineChars="0"/>
        <w:jc w:val="center"/>
        <w:rPr>
          <w:rFonts w:hint="default"/>
        </w:rPr>
      </w:pPr>
      <w:r>
        <w:rPr>
          <w:rFonts w:hint="default" w:ascii="Times New Roman" w:hAnsi="Times New Roman" w:eastAsia="黑体" w:cs="Times New Roman"/>
          <w:bCs/>
          <w:sz w:val="28"/>
          <w:szCs w:val="28"/>
        </w:rPr>
        <w:t>表1</w:t>
      </w:r>
      <w:r>
        <w:rPr>
          <w:rFonts w:hint="eastAsia" w:ascii="Times New Roman" w:hAnsi="Times New Roman" w:eastAsia="黑体" w:cs="Times New Roman"/>
          <w:bCs/>
          <w:sz w:val="28"/>
          <w:szCs w:val="28"/>
          <w:lang w:val="en-US" w:eastAsia="zh-CN"/>
        </w:rPr>
        <w:t xml:space="preserve">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年郑州市行政分区降水量</w:t>
      </w:r>
    </w:p>
    <w:tbl>
      <w:tblPr>
        <w:tblStyle w:val="23"/>
        <w:tblW w:w="9340" w:type="dxa"/>
        <w:jc w:val="center"/>
        <w:tblInd w:w="20" w:type="dxa"/>
        <w:tblLayout w:type="fixed"/>
        <w:tblCellMar>
          <w:top w:w="0" w:type="dxa"/>
          <w:left w:w="0" w:type="dxa"/>
          <w:bottom w:w="0" w:type="dxa"/>
          <w:right w:w="0" w:type="dxa"/>
        </w:tblCellMar>
      </w:tblPr>
      <w:tblGrid>
        <w:gridCol w:w="1182"/>
        <w:gridCol w:w="1373"/>
        <w:gridCol w:w="1096"/>
        <w:gridCol w:w="1277"/>
        <w:gridCol w:w="1426"/>
        <w:gridCol w:w="1426"/>
        <w:gridCol w:w="1560"/>
      </w:tblGrid>
      <w:tr>
        <w:tblPrEx>
          <w:tblLayout w:type="fixed"/>
          <w:tblCellMar>
            <w:top w:w="0" w:type="dxa"/>
            <w:left w:w="0" w:type="dxa"/>
            <w:bottom w:w="0" w:type="dxa"/>
            <w:right w:w="0" w:type="dxa"/>
          </w:tblCellMar>
        </w:tblPrEx>
        <w:trPr>
          <w:trHeight w:val="460" w:hRule="atLeast"/>
          <w:jc w:val="center"/>
        </w:trPr>
        <w:tc>
          <w:tcPr>
            <w:tcW w:w="1182" w:type="dxa"/>
            <w:vMerge w:val="restart"/>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w:t>
            </w:r>
          </w:p>
          <w:p>
            <w:pPr>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区名称</w:t>
            </w:r>
          </w:p>
        </w:tc>
        <w:tc>
          <w:tcPr>
            <w:tcW w:w="1373"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计算面积</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（km</w:t>
            </w:r>
            <w:r>
              <w:rPr>
                <w:rFonts w:hint="default" w:ascii="Times New Roman" w:hAnsi="Times New Roman" w:eastAsia="仿宋" w:cs="Times New Roman"/>
                <w:sz w:val="24"/>
                <w:vertAlign w:val="superscript"/>
              </w:rPr>
              <w:t>2</w:t>
            </w:r>
            <w:r>
              <w:rPr>
                <w:rFonts w:hint="default" w:ascii="Times New Roman" w:hAnsi="Times New Roman" w:eastAsia="仿宋" w:cs="Times New Roman"/>
                <w:sz w:val="24"/>
              </w:rPr>
              <w:t>）</w:t>
            </w:r>
          </w:p>
        </w:tc>
        <w:tc>
          <w:tcPr>
            <w:tcW w:w="2373" w:type="dxa"/>
            <w:gridSpan w:val="2"/>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年降水量</w:t>
            </w:r>
          </w:p>
        </w:tc>
        <w:tc>
          <w:tcPr>
            <w:tcW w:w="1426"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eastAsia" w:ascii="Times New Roman" w:hAnsi="Times New Roman" w:eastAsia="仿宋" w:cs="Times New Roman"/>
                <w:sz w:val="24"/>
                <w:lang w:eastAsia="zh-CN"/>
              </w:rPr>
            </w:pPr>
            <w:r>
              <w:rPr>
                <w:rFonts w:hint="eastAsia" w:eastAsia="仿宋" w:cs="Times New Roman"/>
                <w:sz w:val="24"/>
                <w:lang w:eastAsia="zh-CN"/>
              </w:rPr>
              <w:t>多年均值</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降水量</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（亿m</w:t>
            </w:r>
            <w:r>
              <w:rPr>
                <w:rFonts w:hint="default" w:ascii="Times New Roman" w:hAnsi="Times New Roman" w:eastAsia="仿宋" w:cs="Times New Roman"/>
                <w:sz w:val="24"/>
                <w:vertAlign w:val="superscript"/>
              </w:rPr>
              <w:t>3</w:t>
            </w:r>
            <w:r>
              <w:rPr>
                <w:rFonts w:hint="default" w:ascii="Times New Roman" w:hAnsi="Times New Roman" w:eastAsia="仿宋" w:cs="Times New Roman"/>
                <w:sz w:val="24"/>
              </w:rPr>
              <w:t>）</w:t>
            </w:r>
          </w:p>
        </w:tc>
        <w:tc>
          <w:tcPr>
            <w:tcW w:w="1426"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与上年比较</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w:t>
            </w:r>
          </w:p>
        </w:tc>
        <w:tc>
          <w:tcPr>
            <w:tcW w:w="1560" w:type="dxa"/>
            <w:vMerge w:val="restart"/>
            <w:tcBorders>
              <w:top w:val="single" w:color="auto" w:sz="12" w:space="0"/>
              <w:left w:val="single" w:color="auto" w:sz="4" w:space="0"/>
              <w:bottom w:val="single" w:color="auto" w:sz="4" w:space="0"/>
            </w:tcBorders>
            <w:tcMar>
              <w:top w:w="20" w:type="dxa"/>
              <w:left w:w="20" w:type="dxa"/>
              <w:bottom w:w="0" w:type="dxa"/>
              <w:right w:w="20" w:type="dxa"/>
            </w:tcMar>
            <w:vAlign w:val="center"/>
          </w:tcPr>
          <w:p>
            <w:pPr>
              <w:jc w:val="center"/>
              <w:rPr>
                <w:rFonts w:hint="eastAsia" w:ascii="Times New Roman" w:hAnsi="Times New Roman" w:eastAsia="仿宋" w:cs="Times New Roman"/>
                <w:sz w:val="24"/>
                <w:lang w:eastAsia="zh-CN"/>
              </w:rPr>
            </w:pPr>
            <w:r>
              <w:rPr>
                <w:rFonts w:hint="default" w:ascii="Times New Roman" w:hAnsi="Times New Roman" w:eastAsia="仿宋" w:cs="Times New Roman"/>
                <w:sz w:val="24"/>
              </w:rPr>
              <w:t>与</w:t>
            </w:r>
            <w:r>
              <w:rPr>
                <w:rFonts w:hint="eastAsia" w:eastAsia="仿宋" w:cs="Times New Roman"/>
                <w:sz w:val="24"/>
                <w:lang w:eastAsia="zh-CN"/>
              </w:rPr>
              <w:t>多年均值</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比较</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w:t>
            </w:r>
          </w:p>
        </w:tc>
      </w:tr>
      <w:tr>
        <w:tblPrEx>
          <w:tblLayout w:type="fixed"/>
          <w:tblCellMar>
            <w:top w:w="0" w:type="dxa"/>
            <w:left w:w="0" w:type="dxa"/>
            <w:bottom w:w="0" w:type="dxa"/>
            <w:right w:w="0" w:type="dxa"/>
          </w:tblCellMar>
        </w:tblPrEx>
        <w:trPr>
          <w:trHeight w:val="433" w:hRule="atLeast"/>
          <w:jc w:val="center"/>
        </w:trPr>
        <w:tc>
          <w:tcPr>
            <w:tcW w:w="1182" w:type="dxa"/>
            <w:vMerge w:val="continue"/>
            <w:tcBorders>
              <w:top w:val="single" w:color="auto" w:sz="4" w:space="0"/>
              <w:bottom w:val="single" w:color="auto" w:sz="12" w:space="0"/>
              <w:right w:val="single" w:color="auto" w:sz="4" w:space="0"/>
            </w:tcBorders>
            <w:vAlign w:val="center"/>
          </w:tcPr>
          <w:p>
            <w:pPr>
              <w:jc w:val="center"/>
              <w:rPr>
                <w:rFonts w:hint="default" w:ascii="Times New Roman" w:hAnsi="Times New Roman" w:eastAsia="仿宋" w:cs="Times New Roman"/>
                <w:sz w:val="24"/>
              </w:rPr>
            </w:pPr>
          </w:p>
        </w:tc>
        <w:tc>
          <w:tcPr>
            <w:tcW w:w="1373"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仿宋" w:cs="Times New Roman"/>
                <w:sz w:val="24"/>
              </w:rPr>
            </w:pPr>
          </w:p>
        </w:tc>
        <w:tc>
          <w:tcPr>
            <w:tcW w:w="1096"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mm</w:t>
            </w:r>
          </w:p>
        </w:tc>
        <w:tc>
          <w:tcPr>
            <w:tcW w:w="1277"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亿m</w:t>
            </w:r>
            <w:r>
              <w:rPr>
                <w:rFonts w:hint="default" w:ascii="Times New Roman" w:hAnsi="Times New Roman" w:eastAsia="仿宋" w:cs="Times New Roman"/>
                <w:sz w:val="24"/>
                <w:vertAlign w:val="superscript"/>
              </w:rPr>
              <w:t>3</w:t>
            </w:r>
          </w:p>
        </w:tc>
        <w:tc>
          <w:tcPr>
            <w:tcW w:w="1426"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仿宋" w:cs="Times New Roman"/>
                <w:sz w:val="24"/>
              </w:rPr>
            </w:pPr>
          </w:p>
        </w:tc>
        <w:tc>
          <w:tcPr>
            <w:tcW w:w="1426"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仿宋" w:cs="Times New Roman"/>
                <w:sz w:val="24"/>
              </w:rPr>
            </w:pPr>
          </w:p>
        </w:tc>
        <w:tc>
          <w:tcPr>
            <w:tcW w:w="1560" w:type="dxa"/>
            <w:vMerge w:val="continue"/>
            <w:tcBorders>
              <w:top w:val="single" w:color="auto" w:sz="4" w:space="0"/>
              <w:left w:val="single" w:color="auto" w:sz="4" w:space="0"/>
              <w:bottom w:val="single" w:color="auto" w:sz="12" w:space="0"/>
            </w:tcBorders>
            <w:vAlign w:val="center"/>
          </w:tcPr>
          <w:p>
            <w:pPr>
              <w:jc w:val="center"/>
              <w:rPr>
                <w:rFonts w:hint="default" w:ascii="Times New Roman" w:hAnsi="Times New Roman" w:eastAsia="仿宋" w:cs="Times New Roman"/>
                <w:sz w:val="24"/>
              </w:rPr>
            </w:pPr>
          </w:p>
        </w:tc>
      </w:tr>
      <w:tr>
        <w:tblPrEx>
          <w:tblLayout w:type="fixed"/>
          <w:tblCellMar>
            <w:top w:w="0" w:type="dxa"/>
            <w:left w:w="0" w:type="dxa"/>
            <w:bottom w:w="0" w:type="dxa"/>
            <w:right w:w="0" w:type="dxa"/>
          </w:tblCellMar>
        </w:tblPrEx>
        <w:trPr>
          <w:trHeight w:val="460" w:hRule="atLeast"/>
          <w:jc w:val="center"/>
        </w:trPr>
        <w:tc>
          <w:tcPr>
            <w:tcW w:w="1182" w:type="dxa"/>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新密市</w:t>
            </w:r>
          </w:p>
        </w:tc>
        <w:tc>
          <w:tcPr>
            <w:tcW w:w="1373"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978.0</w:t>
            </w:r>
          </w:p>
        </w:tc>
        <w:tc>
          <w:tcPr>
            <w:tcW w:w="1096"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577.8</w:t>
            </w:r>
          </w:p>
        </w:tc>
        <w:tc>
          <w:tcPr>
            <w:tcW w:w="1277"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5.6506</w:t>
            </w:r>
          </w:p>
        </w:tc>
        <w:tc>
          <w:tcPr>
            <w:tcW w:w="1426"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6.7286</w:t>
            </w:r>
          </w:p>
        </w:tc>
        <w:tc>
          <w:tcPr>
            <w:tcW w:w="1426" w:type="dxa"/>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-1.4</w:t>
            </w:r>
          </w:p>
        </w:tc>
        <w:tc>
          <w:tcPr>
            <w:tcW w:w="1560" w:type="dxa"/>
            <w:tcBorders>
              <w:top w:val="single" w:color="auto" w:sz="12"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-16.0</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新郑市</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713.0</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492.5</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3.5116</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4.7201</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-16.7</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-25.6</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荥阳市</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892.2</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538.7</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4.8066</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5.4606</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15.8</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-12.0</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登封市</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1219.0</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570.5</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6.9544</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8.0600</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-2.5</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-13.7</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中牟县</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1203.0</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536.4</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6.4535</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7.2914</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23.3</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-11.5</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郑州市区</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992.6</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593.1</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5.8867</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6.2127</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12.2</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-5.3</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航空港区</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415.0</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490.7</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2.0362</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2.6229</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5.4</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-22.4</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上街区</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57.5</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556.5</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0.3200</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0.3487</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21.3</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-8.2</w:t>
            </w:r>
          </w:p>
        </w:tc>
      </w:tr>
      <w:tr>
        <w:tblPrEx>
          <w:tblLayout w:type="fixed"/>
          <w:tblCellMar>
            <w:top w:w="0" w:type="dxa"/>
            <w:left w:w="0" w:type="dxa"/>
            <w:bottom w:w="0" w:type="dxa"/>
            <w:right w:w="0" w:type="dxa"/>
          </w:tblCellMar>
        </w:tblPrEx>
        <w:trPr>
          <w:trHeight w:val="425" w:hRule="atLeast"/>
          <w:jc w:val="center"/>
        </w:trPr>
        <w:tc>
          <w:tcPr>
            <w:tcW w:w="1182" w:type="dxa"/>
            <w:tcBorders>
              <w:top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eastAsia" w:ascii="Times New Roman" w:hAnsi="Times New Roman" w:eastAsia="仿宋" w:cs="Times New Roman"/>
                <w:sz w:val="24"/>
                <w:lang w:val="en-US" w:eastAsia="zh-CN"/>
              </w:rPr>
            </w:pPr>
            <w:r>
              <w:rPr>
                <w:rFonts w:hint="eastAsia" w:eastAsia="仿宋" w:cs="Times New Roman"/>
                <w:sz w:val="24"/>
                <w:lang w:val="en-US" w:eastAsia="zh-CN"/>
              </w:rPr>
              <w:t>巩义市</w:t>
            </w:r>
          </w:p>
        </w:tc>
        <w:tc>
          <w:tcPr>
            <w:tcW w:w="137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1041</w:t>
            </w:r>
          </w:p>
        </w:tc>
        <w:tc>
          <w:tcPr>
            <w:tcW w:w="109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613.9</w:t>
            </w:r>
          </w:p>
        </w:tc>
        <w:tc>
          <w:tcPr>
            <w:tcW w:w="12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6.3906</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6.3001</w:t>
            </w:r>
          </w:p>
        </w:tc>
        <w:tc>
          <w:tcPr>
            <w:tcW w:w="142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15.4</w:t>
            </w:r>
          </w:p>
        </w:tc>
        <w:tc>
          <w:tcPr>
            <w:tcW w:w="1560" w:type="dxa"/>
            <w:tcBorders>
              <w:top w:val="single" w:color="auto" w:sz="4"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1.4</w:t>
            </w:r>
          </w:p>
        </w:tc>
      </w:tr>
      <w:tr>
        <w:tblPrEx>
          <w:tblLayout w:type="fixed"/>
          <w:tblCellMar>
            <w:top w:w="0" w:type="dxa"/>
            <w:left w:w="0" w:type="dxa"/>
            <w:bottom w:w="0" w:type="dxa"/>
            <w:right w:w="0" w:type="dxa"/>
          </w:tblCellMar>
        </w:tblPrEx>
        <w:trPr>
          <w:trHeight w:val="477" w:hRule="atLeast"/>
          <w:jc w:val="center"/>
        </w:trPr>
        <w:tc>
          <w:tcPr>
            <w:tcW w:w="1182" w:type="dxa"/>
            <w:tcBorders>
              <w:top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合计</w:t>
            </w:r>
          </w:p>
        </w:tc>
        <w:tc>
          <w:tcPr>
            <w:tcW w:w="1373"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7511.3</w:t>
            </w:r>
          </w:p>
        </w:tc>
        <w:tc>
          <w:tcPr>
            <w:tcW w:w="1096"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559.3</w:t>
            </w:r>
          </w:p>
        </w:tc>
        <w:tc>
          <w:tcPr>
            <w:tcW w:w="1277"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42.0102</w:t>
            </w:r>
          </w:p>
        </w:tc>
        <w:tc>
          <w:tcPr>
            <w:tcW w:w="1426"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47.7451</w:t>
            </w:r>
          </w:p>
        </w:tc>
        <w:tc>
          <w:tcPr>
            <w:tcW w:w="1426" w:type="dxa"/>
            <w:tcBorders>
              <w:top w:val="single" w:color="auto" w:sz="4" w:space="0"/>
              <w:left w:val="single" w:color="auto" w:sz="4" w:space="0"/>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6.5</w:t>
            </w:r>
          </w:p>
        </w:tc>
        <w:tc>
          <w:tcPr>
            <w:tcW w:w="1560" w:type="dxa"/>
            <w:tcBorders>
              <w:top w:val="single" w:color="auto" w:sz="4" w:space="0"/>
              <w:left w:val="single" w:color="auto" w:sz="4" w:space="0"/>
              <w:bottom w:val="single" w:color="auto" w:sz="12"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-12.0</w:t>
            </w:r>
          </w:p>
        </w:tc>
      </w:tr>
    </w:tbl>
    <w:p>
      <w:pPr>
        <w:rPr>
          <w:rFonts w:hint="default" w:ascii="Times New Roman" w:hAnsi="Times New Roman" w:eastAsia="仿宋" w:cs="Times New Roman"/>
          <w:sz w:val="24"/>
        </w:rPr>
      </w:pPr>
    </w:p>
    <w:p>
      <w:pPr>
        <w:pStyle w:val="5"/>
        <w:snapToGrid w:val="0"/>
        <w:spacing w:before="0" w:after="0" w:line="360" w:lineRule="auto"/>
        <w:ind w:firstLine="0" w:firstLineChars="0"/>
        <w:jc w:val="left"/>
        <w:rPr>
          <w:rFonts w:hint="default" w:ascii="Times New Roman" w:hAnsi="Times New Roman" w:eastAsia="仿宋" w:cs="Times New Roman"/>
        </w:rPr>
      </w:pPr>
      <w:bookmarkStart w:id="4" w:name="_Toc23121"/>
      <w:r>
        <w:rPr>
          <w:rFonts w:hint="default" w:ascii="Times New Roman" w:hAnsi="Times New Roman" w:eastAsia="仿宋" w:cs="Times New Roman"/>
        </w:rPr>
        <w:t>2.1.1 降水量的年内分配</w:t>
      </w:r>
      <w:bookmarkEnd w:id="4"/>
    </w:p>
    <w:p>
      <w:pPr>
        <w:snapToGrid w:val="0"/>
        <w:spacing w:line="360" w:lineRule="auto"/>
        <w:ind w:firstLine="640" w:firstLineChars="200"/>
        <w:rPr>
          <w:rFonts w:hint="default" w:ascii="Times New Roman" w:hAnsi="Times New Roman" w:eastAsia="仿宋" w:cs="Times New Roman"/>
          <w:sz w:val="30"/>
          <w:szCs w:val="30"/>
        </w:rPr>
      </w:pPr>
      <w:r>
        <w:rPr>
          <w:rFonts w:hint="default" w:ascii="Times New Roman" w:hAnsi="Times New Roman" w:eastAsia="仿宋" w:cs="Times New Roman"/>
          <w:sz w:val="32"/>
          <w:szCs w:val="32"/>
          <w:lang w:eastAsia="zh-CN"/>
        </w:rPr>
        <w:t>2018年全市降水时间分配很不均匀，主要集中在7月、8月、9月</w:t>
      </w:r>
      <w:r>
        <w:rPr>
          <w:rFonts w:hint="eastAsia" w:eastAsia="仿宋" w:cs="Times New Roman"/>
          <w:sz w:val="32"/>
          <w:szCs w:val="32"/>
          <w:lang w:val="en-US" w:eastAsia="zh-CN"/>
        </w:rPr>
        <w:t>三</w:t>
      </w:r>
      <w:r>
        <w:rPr>
          <w:rFonts w:hint="default" w:ascii="Times New Roman" w:hAnsi="Times New Roman" w:eastAsia="仿宋" w:cs="Times New Roman"/>
          <w:sz w:val="32"/>
          <w:szCs w:val="32"/>
          <w:lang w:eastAsia="zh-CN"/>
        </w:rPr>
        <w:t>个月份。8月份降水量最大，为</w:t>
      </w:r>
      <w:r>
        <w:rPr>
          <w:rFonts w:hint="eastAsia" w:eastAsia="仿宋" w:cs="Times New Roman"/>
          <w:sz w:val="32"/>
          <w:szCs w:val="32"/>
          <w:lang w:val="en-US" w:eastAsia="zh-CN"/>
        </w:rPr>
        <w:t>120.5</w:t>
      </w:r>
      <w:r>
        <w:rPr>
          <w:rFonts w:hint="default" w:ascii="Times New Roman" w:hAnsi="Times New Roman" w:eastAsia="仿宋" w:cs="Times New Roman"/>
          <w:sz w:val="32"/>
          <w:szCs w:val="32"/>
          <w:lang w:eastAsia="zh-CN"/>
        </w:rPr>
        <w:t>mm；9月份次之，降水量为8</w:t>
      </w:r>
      <w:r>
        <w:rPr>
          <w:rFonts w:hint="eastAsia" w:eastAsia="仿宋" w:cs="Times New Roman"/>
          <w:sz w:val="32"/>
          <w:szCs w:val="32"/>
          <w:lang w:val="en-US" w:eastAsia="zh-CN"/>
        </w:rPr>
        <w:t>9.1</w:t>
      </w:r>
      <w:r>
        <w:rPr>
          <w:rFonts w:hint="default" w:ascii="Times New Roman" w:hAnsi="Times New Roman" w:eastAsia="仿宋" w:cs="Times New Roman"/>
          <w:sz w:val="32"/>
          <w:szCs w:val="32"/>
          <w:lang w:eastAsia="zh-CN"/>
        </w:rPr>
        <w:t>mm；7月份降水量为</w:t>
      </w:r>
      <w:r>
        <w:rPr>
          <w:rFonts w:hint="eastAsia" w:eastAsia="仿宋" w:cs="Times New Roman"/>
          <w:sz w:val="32"/>
          <w:szCs w:val="32"/>
          <w:lang w:val="en-US" w:eastAsia="zh-CN"/>
        </w:rPr>
        <w:t>84.4</w:t>
      </w:r>
      <w:r>
        <w:rPr>
          <w:rFonts w:hint="default" w:ascii="Times New Roman" w:hAnsi="Times New Roman" w:eastAsia="仿宋" w:cs="Times New Roman"/>
          <w:sz w:val="32"/>
          <w:szCs w:val="32"/>
          <w:lang w:eastAsia="zh-CN"/>
        </w:rPr>
        <w:t>mm。三个月</w:t>
      </w:r>
      <w:r>
        <w:rPr>
          <w:rFonts w:hint="eastAsia" w:eastAsia="仿宋" w:cs="Times New Roman"/>
          <w:sz w:val="32"/>
          <w:szCs w:val="32"/>
          <w:lang w:val="en-US" w:eastAsia="zh-CN"/>
        </w:rPr>
        <w:t>合计</w:t>
      </w:r>
      <w:r>
        <w:rPr>
          <w:rFonts w:hint="default" w:ascii="Times New Roman" w:hAnsi="Times New Roman" w:eastAsia="仿宋" w:cs="Times New Roman"/>
          <w:sz w:val="32"/>
          <w:szCs w:val="32"/>
          <w:lang w:eastAsia="zh-CN"/>
        </w:rPr>
        <w:t>降水量</w:t>
      </w:r>
      <w:r>
        <w:rPr>
          <w:rFonts w:hint="eastAsia" w:eastAsia="仿宋" w:cs="Times New Roman"/>
          <w:sz w:val="32"/>
          <w:szCs w:val="32"/>
          <w:lang w:val="en-US" w:eastAsia="zh-CN"/>
        </w:rPr>
        <w:t>294.0mm，</w:t>
      </w:r>
      <w:r>
        <w:rPr>
          <w:rFonts w:hint="default" w:ascii="Times New Roman" w:hAnsi="Times New Roman" w:eastAsia="仿宋" w:cs="Times New Roman"/>
          <w:sz w:val="32"/>
          <w:szCs w:val="32"/>
          <w:lang w:eastAsia="zh-CN"/>
        </w:rPr>
        <w:t>占全年总降水量的52.</w:t>
      </w:r>
      <w:r>
        <w:rPr>
          <w:rFonts w:hint="eastAsia" w:eastAsia="仿宋" w:cs="Times New Roman"/>
          <w:sz w:val="32"/>
          <w:szCs w:val="32"/>
          <w:lang w:val="en-US" w:eastAsia="zh-CN"/>
        </w:rPr>
        <w:t>6</w:t>
      </w:r>
      <w:r>
        <w:rPr>
          <w:rFonts w:hint="default" w:ascii="Times New Roman" w:hAnsi="Times New Roman" w:eastAsia="仿宋" w:cs="Times New Roman"/>
          <w:sz w:val="32"/>
          <w:szCs w:val="32"/>
          <w:lang w:eastAsia="zh-CN"/>
        </w:rPr>
        <w:t>%。全年降水量最小月为10月份，降水量为0.</w:t>
      </w:r>
      <w:r>
        <w:rPr>
          <w:rFonts w:hint="eastAsia" w:eastAsia="仿宋" w:cs="Times New Roman"/>
          <w:sz w:val="32"/>
          <w:szCs w:val="32"/>
          <w:lang w:val="en-US" w:eastAsia="zh-CN"/>
        </w:rPr>
        <w:t>3</w:t>
      </w:r>
      <w:r>
        <w:rPr>
          <w:rFonts w:hint="default" w:ascii="Times New Roman" w:hAnsi="Times New Roman" w:eastAsia="仿宋" w:cs="Times New Roman"/>
          <w:sz w:val="32"/>
          <w:szCs w:val="32"/>
          <w:lang w:eastAsia="zh-CN"/>
        </w:rPr>
        <w:t>mm。</w:t>
      </w:r>
      <w:r>
        <w:rPr>
          <w:rFonts w:hint="default" w:ascii="Times New Roman" w:hAnsi="Times New Roman" w:eastAsia="仿宋" w:cs="Times New Roman"/>
          <w:sz w:val="30"/>
          <w:szCs w:val="30"/>
        </w:rPr>
        <w:t>见图1。</w:t>
      </w:r>
    </w:p>
    <w:p>
      <w:pPr>
        <w:snapToGrid w:val="0"/>
        <w:spacing w:line="360" w:lineRule="auto"/>
        <w:ind w:firstLine="640" w:firstLineChars="200"/>
        <w:rPr>
          <w:rFonts w:hint="default" w:ascii="Times New Roman" w:hAnsi="Times New Roman" w:cs="Times New Roman"/>
        </w:rPr>
      </w:pPr>
      <w:r>
        <w:rPr>
          <w:rFonts w:hint="default" w:ascii="Times New Roman" w:hAnsi="Times New Roman" w:eastAsia="仿宋" w:cs="Times New Roman"/>
          <w:sz w:val="32"/>
          <w:szCs w:val="32"/>
        </w:rPr>
        <w:t>全市汛期（6～9月）降水量为</w:t>
      </w:r>
      <w:r>
        <w:rPr>
          <w:rFonts w:hint="eastAsia" w:eastAsia="仿宋" w:cs="Times New Roman"/>
          <w:sz w:val="32"/>
          <w:szCs w:val="32"/>
          <w:lang w:val="en-US" w:eastAsia="zh-CN"/>
        </w:rPr>
        <w:t>357</w:t>
      </w:r>
      <w:r>
        <w:rPr>
          <w:rFonts w:hint="default" w:ascii="Times New Roman" w:hAnsi="Times New Roman" w:eastAsia="仿宋" w:cs="Times New Roman"/>
          <w:sz w:val="32"/>
          <w:szCs w:val="32"/>
        </w:rPr>
        <w:t>mm，占全年降水量的6</w:t>
      </w:r>
      <w:r>
        <w:rPr>
          <w:rFonts w:hint="default" w:ascii="Times New Roman" w:hAnsi="Times New Roman" w:eastAsia="仿宋" w:cs="Times New Roman"/>
          <w:sz w:val="32"/>
          <w:szCs w:val="32"/>
          <w:lang w:val="en-US" w:eastAsia="zh-CN"/>
        </w:rPr>
        <w:t>3.</w:t>
      </w:r>
      <w:r>
        <w:rPr>
          <w:rFonts w:hint="eastAsia" w:eastAsia="仿宋" w:cs="Times New Roman"/>
          <w:sz w:val="32"/>
          <w:szCs w:val="32"/>
          <w:lang w:val="en-US" w:eastAsia="zh-CN"/>
        </w:rPr>
        <w:t>8</w:t>
      </w:r>
      <w:r>
        <w:rPr>
          <w:rFonts w:hint="default" w:ascii="Times New Roman" w:hAnsi="Times New Roman" w:eastAsia="仿宋" w:cs="Times New Roman"/>
          <w:sz w:val="32"/>
          <w:szCs w:val="32"/>
        </w:rPr>
        <w:t>%。8月份降水最多，降水量为</w:t>
      </w:r>
      <w:r>
        <w:rPr>
          <w:rFonts w:hint="eastAsia" w:eastAsia="仿宋" w:cs="Times New Roman"/>
          <w:sz w:val="32"/>
          <w:szCs w:val="32"/>
          <w:lang w:val="en-US" w:eastAsia="zh-CN"/>
        </w:rPr>
        <w:t>120.5</w:t>
      </w:r>
      <w:r>
        <w:rPr>
          <w:rFonts w:hint="default" w:ascii="Times New Roman" w:hAnsi="Times New Roman" w:eastAsia="仿宋" w:cs="Times New Roman"/>
          <w:sz w:val="32"/>
          <w:szCs w:val="32"/>
        </w:rPr>
        <w:t>mm，占汛期降水总量的</w:t>
      </w:r>
      <w:r>
        <w:rPr>
          <w:rFonts w:hint="eastAsia" w:eastAsia="仿宋" w:cs="Times New Roman"/>
          <w:sz w:val="32"/>
          <w:szCs w:val="32"/>
          <w:lang w:val="en-US" w:eastAsia="zh-CN"/>
        </w:rPr>
        <w:t>33.8</w:t>
      </w:r>
      <w:r>
        <w:rPr>
          <w:rFonts w:hint="default" w:ascii="Times New Roman" w:hAnsi="Times New Roman" w:eastAsia="仿宋" w:cs="Times New Roman"/>
          <w:sz w:val="32"/>
          <w:szCs w:val="32"/>
        </w:rPr>
        <w:t>%，占年</w:t>
      </w:r>
      <w:r>
        <w:rPr>
          <w:rFonts w:hint="default" w:ascii="Times New Roman" w:hAnsi="Times New Roman" w:eastAsia="仿宋" w:cs="Times New Roman"/>
          <w:sz w:val="32"/>
          <w:szCs w:val="32"/>
          <w:lang w:val="en-US" w:eastAsia="zh-CN"/>
        </w:rPr>
        <w:t>降水总量的</w:t>
      </w:r>
      <w:r>
        <w:rPr>
          <w:rFonts w:hint="eastAsia" w:eastAsia="仿宋" w:cs="Times New Roman"/>
          <w:sz w:val="32"/>
          <w:szCs w:val="32"/>
          <w:lang w:val="en-US" w:eastAsia="zh-CN"/>
        </w:rPr>
        <w:t>21.5</w:t>
      </w:r>
      <w:r>
        <w:rPr>
          <w:rFonts w:hint="default" w:ascii="Times New Roman" w:hAnsi="Times New Roman" w:eastAsia="仿宋" w:cs="Times New Roman"/>
          <w:sz w:val="32"/>
          <w:szCs w:val="32"/>
        </w:rPr>
        <w:t>%。6月、7月、9月降水量依次为</w:t>
      </w:r>
      <w:r>
        <w:rPr>
          <w:rFonts w:hint="eastAsia" w:eastAsia="仿宋" w:cs="Times New Roman"/>
          <w:sz w:val="32"/>
          <w:szCs w:val="32"/>
          <w:lang w:val="en-US" w:eastAsia="zh-CN"/>
        </w:rPr>
        <w:t>63.0</w:t>
      </w:r>
      <w:r>
        <w:rPr>
          <w:rFonts w:hint="default" w:ascii="Times New Roman" w:hAnsi="Times New Roman" w:eastAsia="仿宋" w:cs="Times New Roman"/>
          <w:sz w:val="32"/>
          <w:szCs w:val="32"/>
        </w:rPr>
        <w:t>mm、</w:t>
      </w:r>
      <w:r>
        <w:rPr>
          <w:rFonts w:hint="eastAsia" w:eastAsia="仿宋" w:cs="Times New Roman"/>
          <w:sz w:val="32"/>
          <w:szCs w:val="32"/>
          <w:lang w:val="en-US" w:eastAsia="zh-CN"/>
        </w:rPr>
        <w:t>84.4</w:t>
      </w:r>
      <w:r>
        <w:rPr>
          <w:rFonts w:hint="default" w:ascii="Times New Roman" w:hAnsi="Times New Roman" w:eastAsia="仿宋" w:cs="Times New Roman"/>
          <w:sz w:val="32"/>
          <w:szCs w:val="32"/>
        </w:rPr>
        <w:t>mm和8</w:t>
      </w:r>
      <w:r>
        <w:rPr>
          <w:rFonts w:hint="eastAsia" w:eastAsia="仿宋" w:cs="Times New Roman"/>
          <w:sz w:val="32"/>
          <w:szCs w:val="32"/>
          <w:lang w:val="en-US" w:eastAsia="zh-CN"/>
        </w:rPr>
        <w:t>9.1</w:t>
      </w:r>
      <w:r>
        <w:rPr>
          <w:rFonts w:hint="default" w:ascii="Times New Roman" w:hAnsi="Times New Roman" w:eastAsia="仿宋" w:cs="Times New Roman"/>
          <w:sz w:val="32"/>
          <w:szCs w:val="32"/>
        </w:rPr>
        <w:t>mm。</w:t>
      </w:r>
    </w:p>
    <w:p>
      <w:pPr>
        <w:snapToGrid w:val="0"/>
        <w:spacing w:line="360" w:lineRule="auto"/>
        <w:jc w:val="center"/>
        <w:rPr>
          <w:rFonts w:hint="default" w:ascii="Times New Roman" w:hAnsi="Times New Roman" w:cs="Times New Roman"/>
        </w:rPr>
      </w:pPr>
      <w:r>
        <w:drawing>
          <wp:inline distT="0" distB="0" distL="114300" distR="114300">
            <wp:extent cx="5976620" cy="3467735"/>
            <wp:effectExtent l="0" t="0" r="0" b="0"/>
            <wp:docPr id="10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napToGrid w:val="0"/>
        <w:spacing w:line="360" w:lineRule="auto"/>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xml:space="preserve">图1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年郑州市逐月面平均降水量图</w:t>
      </w:r>
    </w:p>
    <w:p>
      <w:pPr>
        <w:pStyle w:val="5"/>
        <w:snapToGrid w:val="0"/>
        <w:spacing w:before="0" w:after="0" w:line="360" w:lineRule="auto"/>
        <w:ind w:firstLine="0" w:firstLineChars="0"/>
        <w:jc w:val="left"/>
        <w:rPr>
          <w:rFonts w:hint="default" w:ascii="Times New Roman" w:hAnsi="Times New Roman" w:eastAsia="仿宋" w:cs="Times New Roman"/>
        </w:rPr>
      </w:pPr>
      <w:bookmarkStart w:id="5" w:name="_Toc25466"/>
      <w:r>
        <w:rPr>
          <w:rFonts w:hint="default" w:ascii="Times New Roman" w:hAnsi="Times New Roman" w:eastAsia="仿宋" w:cs="Times New Roman"/>
        </w:rPr>
        <w:t>2.1.2 降水量的空间分布</w:t>
      </w:r>
      <w:bookmarkEnd w:id="5"/>
    </w:p>
    <w:p>
      <w:pPr>
        <w:snapToGrid w:val="0"/>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w:t>
      </w:r>
      <w:r>
        <w:rPr>
          <w:rFonts w:hint="default" w:ascii="Times New Roman" w:hAnsi="Times New Roman" w:eastAsia="仿宋" w:cs="Times New Roman"/>
          <w:sz w:val="32"/>
          <w:szCs w:val="32"/>
        </w:rPr>
        <w:t>全市的降水空间分布不均匀，</w:t>
      </w:r>
      <w:r>
        <w:rPr>
          <w:rFonts w:hint="default" w:ascii="Times New Roman" w:hAnsi="Times New Roman" w:eastAsia="仿宋_GB2312" w:cs="Times New Roman"/>
          <w:color w:val="auto"/>
          <w:sz w:val="30"/>
          <w:szCs w:val="30"/>
          <w:lang w:eastAsia="zh-CN"/>
        </w:rPr>
        <w:t>高值区出现在</w:t>
      </w:r>
      <w:r>
        <w:rPr>
          <w:rFonts w:hint="default" w:ascii="Times New Roman" w:hAnsi="Times New Roman" w:eastAsia="仿宋_GB2312" w:cs="Times New Roman"/>
          <w:color w:val="auto"/>
          <w:sz w:val="30"/>
          <w:szCs w:val="30"/>
          <w:lang w:val="en-US" w:eastAsia="zh-CN"/>
        </w:rPr>
        <w:t>新密市小王庄和郑州市区常庄水库</w:t>
      </w:r>
      <w:r>
        <w:rPr>
          <w:rFonts w:hint="default" w:ascii="Times New Roman" w:hAnsi="Times New Roman" w:eastAsia="仿宋_GB2312" w:cs="Times New Roman"/>
          <w:color w:val="auto"/>
          <w:sz w:val="30"/>
          <w:szCs w:val="30"/>
          <w:lang w:eastAsia="zh-CN"/>
        </w:rPr>
        <w:t>附近；</w:t>
      </w:r>
      <w:r>
        <w:rPr>
          <w:rFonts w:hint="default" w:ascii="Times New Roman" w:hAnsi="Times New Roman" w:eastAsia="仿宋_GB2312" w:cs="Times New Roman"/>
          <w:color w:val="auto"/>
          <w:sz w:val="30"/>
          <w:szCs w:val="30"/>
        </w:rPr>
        <w:t>降水低值区出现在</w:t>
      </w:r>
      <w:r>
        <w:rPr>
          <w:rFonts w:hint="default" w:ascii="Times New Roman" w:hAnsi="Times New Roman" w:eastAsia="仿宋_GB2312" w:cs="Times New Roman"/>
          <w:color w:val="auto"/>
          <w:sz w:val="30"/>
          <w:szCs w:val="30"/>
          <w:lang w:val="en-US" w:eastAsia="zh-CN"/>
        </w:rPr>
        <w:t>新郑市老观寨水库一带</w:t>
      </w:r>
      <w:r>
        <w:rPr>
          <w:rFonts w:hint="default" w:ascii="Times New Roman" w:hAnsi="Times New Roman" w:eastAsia="仿宋_GB2312" w:cs="Times New Roman"/>
          <w:color w:val="auto"/>
          <w:sz w:val="30"/>
          <w:szCs w:val="30"/>
        </w:rPr>
        <w:t>。年降水量最大值出现在</w:t>
      </w:r>
      <w:r>
        <w:rPr>
          <w:rFonts w:hint="default" w:ascii="Times New Roman" w:hAnsi="Times New Roman" w:eastAsia="仿宋_GB2312" w:cs="Times New Roman"/>
          <w:color w:val="auto"/>
          <w:sz w:val="30"/>
          <w:szCs w:val="30"/>
          <w:lang w:val="en-US" w:eastAsia="zh-CN"/>
        </w:rPr>
        <w:t>新密市小王庄</w:t>
      </w:r>
      <w:r>
        <w:rPr>
          <w:rFonts w:hint="default" w:ascii="Times New Roman" w:hAnsi="Times New Roman" w:eastAsia="仿宋_GB2312" w:cs="Times New Roman"/>
          <w:color w:val="auto"/>
          <w:sz w:val="30"/>
          <w:szCs w:val="30"/>
        </w:rPr>
        <w:t>站，</w:t>
      </w:r>
      <w:r>
        <w:rPr>
          <w:rFonts w:hint="default" w:ascii="Times New Roman" w:hAnsi="Times New Roman" w:eastAsia="仿宋_GB2312" w:cs="Times New Roman"/>
          <w:color w:val="auto"/>
          <w:sz w:val="30"/>
          <w:szCs w:val="30"/>
          <w:highlight w:val="none"/>
          <w:lang w:eastAsia="zh-CN"/>
        </w:rPr>
        <w:t>降水量达</w:t>
      </w:r>
      <w:r>
        <w:rPr>
          <w:rFonts w:hint="default" w:ascii="Times New Roman" w:hAnsi="Times New Roman" w:eastAsia="仿宋_GB2312" w:cs="Times New Roman"/>
          <w:color w:val="auto"/>
          <w:sz w:val="30"/>
          <w:szCs w:val="30"/>
          <w:highlight w:val="none"/>
          <w:lang w:val="en-US" w:eastAsia="zh-CN"/>
        </w:rPr>
        <w:t>734.4</w:t>
      </w:r>
      <w:r>
        <w:rPr>
          <w:rFonts w:hint="default" w:ascii="Times New Roman" w:hAnsi="Times New Roman" w:eastAsia="仿宋_GB2312" w:cs="Times New Roman"/>
          <w:color w:val="auto"/>
          <w:sz w:val="30"/>
          <w:szCs w:val="30"/>
          <w:highlight w:val="none"/>
        </w:rPr>
        <w:t>m。年</w:t>
      </w:r>
      <w:r>
        <w:rPr>
          <w:rFonts w:hint="default" w:ascii="Times New Roman" w:hAnsi="Times New Roman" w:eastAsia="仿宋_GB2312" w:cs="Times New Roman"/>
          <w:color w:val="auto"/>
          <w:sz w:val="30"/>
          <w:szCs w:val="30"/>
        </w:rPr>
        <w:t>降水量最小值出现在</w:t>
      </w:r>
      <w:r>
        <w:rPr>
          <w:rFonts w:hint="default" w:ascii="Times New Roman" w:hAnsi="Times New Roman" w:eastAsia="仿宋_GB2312" w:cs="Times New Roman"/>
          <w:color w:val="auto"/>
          <w:sz w:val="30"/>
          <w:szCs w:val="30"/>
          <w:lang w:val="en-US" w:eastAsia="zh-CN"/>
        </w:rPr>
        <w:t>新郑</w:t>
      </w:r>
      <w:r>
        <w:rPr>
          <w:rFonts w:hint="default" w:ascii="Times New Roman" w:hAnsi="Times New Roman" w:eastAsia="仿宋_GB2312" w:cs="Times New Roman"/>
          <w:color w:val="auto"/>
          <w:sz w:val="30"/>
          <w:szCs w:val="30"/>
          <w:lang w:eastAsia="zh-CN"/>
        </w:rPr>
        <w:t>市</w:t>
      </w:r>
      <w:r>
        <w:rPr>
          <w:rFonts w:hint="default" w:ascii="Times New Roman" w:hAnsi="Times New Roman" w:eastAsia="仿宋_GB2312" w:cs="Times New Roman"/>
          <w:color w:val="auto"/>
          <w:sz w:val="30"/>
          <w:szCs w:val="30"/>
          <w:lang w:val="en-US" w:eastAsia="zh-CN"/>
        </w:rPr>
        <w:t>老观寨</w:t>
      </w:r>
      <w:r>
        <w:rPr>
          <w:rFonts w:hint="default" w:ascii="Times New Roman" w:hAnsi="Times New Roman" w:eastAsia="仿宋_GB2312" w:cs="Times New Roman"/>
          <w:color w:val="auto"/>
          <w:sz w:val="30"/>
          <w:szCs w:val="30"/>
        </w:rPr>
        <w:t>站，</w:t>
      </w:r>
      <w:r>
        <w:rPr>
          <w:rFonts w:hint="default" w:ascii="Times New Roman" w:hAnsi="Times New Roman" w:eastAsia="仿宋_GB2312" w:cs="Times New Roman"/>
          <w:color w:val="auto"/>
          <w:sz w:val="30"/>
          <w:szCs w:val="30"/>
          <w:highlight w:val="none"/>
          <w:lang w:eastAsia="zh-CN"/>
        </w:rPr>
        <w:t>降水量</w:t>
      </w:r>
      <w:r>
        <w:rPr>
          <w:rFonts w:hint="default" w:ascii="Times New Roman" w:hAnsi="Times New Roman" w:eastAsia="仿宋_GB2312" w:cs="Times New Roman"/>
          <w:color w:val="auto"/>
          <w:sz w:val="30"/>
          <w:szCs w:val="30"/>
        </w:rPr>
        <w:t>仅为</w:t>
      </w:r>
      <w:r>
        <w:rPr>
          <w:rFonts w:hint="default" w:ascii="Times New Roman" w:hAnsi="Times New Roman" w:eastAsia="仿宋_GB2312" w:cs="Times New Roman"/>
          <w:color w:val="auto"/>
          <w:sz w:val="30"/>
          <w:szCs w:val="30"/>
          <w:lang w:val="en-US" w:eastAsia="zh-CN"/>
        </w:rPr>
        <w:t>345.7</w:t>
      </w:r>
      <w:r>
        <w:rPr>
          <w:rFonts w:hint="default" w:ascii="Times New Roman" w:hAnsi="Times New Roman" w:eastAsia="仿宋_GB2312" w:cs="Times New Roman"/>
          <w:color w:val="auto"/>
          <w:sz w:val="30"/>
          <w:szCs w:val="30"/>
        </w:rPr>
        <w:t>mm。</w:t>
      </w:r>
      <w:r>
        <w:rPr>
          <w:rFonts w:hint="eastAsia" w:eastAsia="仿宋" w:cs="Times New Roman"/>
          <w:sz w:val="32"/>
          <w:szCs w:val="32"/>
          <w:lang w:val="en-US" w:eastAsia="zh-CN"/>
        </w:rPr>
        <w:t>降水</w:t>
      </w:r>
      <w:r>
        <w:rPr>
          <w:rFonts w:hint="default" w:ascii="Times New Roman" w:hAnsi="Times New Roman" w:eastAsia="仿宋" w:cs="Times New Roman"/>
          <w:sz w:val="32"/>
          <w:szCs w:val="32"/>
        </w:rPr>
        <w:t>分布情况见图2。</w:t>
      </w:r>
    </w:p>
    <w:p>
      <w:pPr>
        <w:pStyle w:val="4"/>
        <w:spacing w:before="0" w:after="0" w:line="360" w:lineRule="auto"/>
        <w:jc w:val="left"/>
        <w:rPr>
          <w:rFonts w:hint="default" w:ascii="Times New Roman" w:hAnsi="Times New Roman" w:eastAsia="仿宋" w:cs="Times New Roman"/>
          <w:b w:val="0"/>
        </w:rPr>
      </w:pPr>
      <w:bookmarkStart w:id="6" w:name="_Toc2981"/>
      <w:r>
        <w:rPr>
          <w:rFonts w:hint="default" w:ascii="Times New Roman" w:hAnsi="Times New Roman" w:cs="Times New Roman"/>
          <w:b w:val="0"/>
        </w:rPr>
        <w:t>2.2 地表水资源</w:t>
      </w:r>
      <w:bookmarkEnd w:id="6"/>
    </w:p>
    <w:p>
      <w:pPr>
        <w:spacing w:line="360" w:lineRule="auto"/>
        <w:ind w:firstLine="600" w:firstLineChars="200"/>
        <w:jc w:val="left"/>
        <w:rPr>
          <w:rFonts w:hint="default" w:ascii="Times New Roman" w:hAnsi="Times New Roman" w:eastAsia="仿宋" w:cs="Times New Roman"/>
          <w:sz w:val="30"/>
          <w:szCs w:val="30"/>
        </w:rPr>
        <w:sectPr>
          <w:footerReference r:id="rId9" w:type="default"/>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年郑州市地表水资源量</w:t>
      </w:r>
      <w:r>
        <w:rPr>
          <w:rFonts w:hint="eastAsia" w:eastAsia="仿宋" w:cs="Times New Roman"/>
          <w:sz w:val="30"/>
          <w:szCs w:val="30"/>
          <w:lang w:val="en-US" w:eastAsia="zh-CN"/>
        </w:rPr>
        <w:t>3.6424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，折合径流深为</w:t>
      </w:r>
      <w:r>
        <w:rPr>
          <w:rFonts w:hint="eastAsia" w:eastAsia="仿宋" w:cs="Times New Roman"/>
          <w:sz w:val="30"/>
          <w:szCs w:val="30"/>
          <w:lang w:val="en-US" w:eastAsia="zh-CN"/>
        </w:rPr>
        <w:t>48.5</w:t>
      </w:r>
      <w:r>
        <w:rPr>
          <w:rFonts w:hint="default" w:ascii="Times New Roman" w:hAnsi="Times New Roman" w:eastAsia="仿宋" w:cs="Times New Roman"/>
          <w:sz w:val="30"/>
          <w:szCs w:val="30"/>
        </w:rPr>
        <w:t>mm，比上年</w:t>
      </w:r>
      <w:r>
        <w:rPr>
          <w:rFonts w:hint="eastAsia" w:eastAsia="仿宋" w:cs="Times New Roman"/>
          <w:sz w:val="30"/>
          <w:szCs w:val="30"/>
          <w:lang w:val="en-US" w:eastAsia="zh-CN"/>
        </w:rPr>
        <w:t>增加11.9</w:t>
      </w:r>
      <w:r>
        <w:rPr>
          <w:rFonts w:hint="default" w:ascii="Times New Roman" w:hAnsi="Times New Roman" w:eastAsia="仿宋" w:cs="Times New Roman"/>
          <w:sz w:val="30"/>
          <w:szCs w:val="30"/>
        </w:rPr>
        <w:t>%；比</w:t>
      </w:r>
      <w:r>
        <w:rPr>
          <w:rFonts w:hint="eastAsia" w:eastAsia="仿宋" w:cs="Times New Roman"/>
          <w:sz w:val="30"/>
          <w:szCs w:val="30"/>
          <w:lang w:eastAsia="zh-CN"/>
        </w:rPr>
        <w:t>多年均值（</w:t>
      </w:r>
      <w:r>
        <w:rPr>
          <w:rFonts w:hint="eastAsia" w:eastAsia="仿宋" w:cs="Times New Roman"/>
          <w:sz w:val="30"/>
          <w:szCs w:val="30"/>
          <w:lang w:val="en-US" w:eastAsia="zh-CN"/>
        </w:rPr>
        <w:t>1956～2000年系列</w:t>
      </w:r>
      <w:r>
        <w:rPr>
          <w:rFonts w:hint="eastAsia" w:eastAsia="仿宋" w:cs="Times New Roman"/>
          <w:sz w:val="30"/>
          <w:szCs w:val="30"/>
          <w:lang w:eastAsia="zh-CN"/>
        </w:rPr>
        <w:t>）</w:t>
      </w:r>
      <w:r>
        <w:rPr>
          <w:rFonts w:hint="default" w:ascii="Times New Roman" w:hAnsi="Times New Roman" w:eastAsia="仿宋" w:cs="Times New Roman"/>
          <w:sz w:val="30"/>
          <w:szCs w:val="30"/>
        </w:rPr>
        <w:t>地表水资源量5.9485亿m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减少</w:t>
      </w:r>
      <w:r>
        <w:rPr>
          <w:rFonts w:hint="eastAsia" w:eastAsia="仿宋" w:cs="Times New Roman"/>
          <w:sz w:val="30"/>
          <w:szCs w:val="30"/>
          <w:lang w:val="en-US" w:eastAsia="zh-CN"/>
        </w:rPr>
        <w:t>48.2</w:t>
      </w:r>
      <w:r>
        <w:rPr>
          <w:rFonts w:hint="default" w:ascii="Times New Roman" w:hAnsi="Times New Roman" w:eastAsia="仿宋" w:cs="Times New Roman"/>
          <w:sz w:val="30"/>
          <w:szCs w:val="30"/>
        </w:rPr>
        <w:t>%。</w:t>
      </w:r>
    </w:p>
    <w:p>
      <w:pPr>
        <w:jc w:val="center"/>
        <w:rPr>
          <w:rFonts w:hint="default" w:ascii="Times New Roman" w:hAnsi="Times New Roman" w:eastAsia="宋体" w:cs="Times New Roman"/>
          <w:bCs/>
          <w:sz w:val="24"/>
          <w:lang w:eastAsia="zh-CN"/>
        </w:rPr>
      </w:pPr>
      <w:r>
        <w:rPr>
          <w:rFonts w:hint="default" w:ascii="Times New Roman" w:hAnsi="Times New Roman" w:eastAsia="宋体" w:cs="Times New Roman"/>
          <w:bCs/>
          <w:sz w:val="24"/>
          <w:lang w:eastAsia="zh-CN"/>
        </w:rPr>
        <w:drawing>
          <wp:inline distT="0" distB="0" distL="114300" distR="114300">
            <wp:extent cx="7699375" cy="5384800"/>
            <wp:effectExtent l="0" t="0" r="15875" b="6350"/>
            <wp:docPr id="9" name="图片 9" descr="2018年降水量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8年降水量等值线图"/>
                    <pic:cNvPicPr>
                      <a:picLocks noChangeAspect="1"/>
                    </pic:cNvPicPr>
                  </pic:nvPicPr>
                  <pic:blipFill>
                    <a:blip r:embed="rId16"/>
                    <a:stretch>
                      <a:fillRect/>
                    </a:stretch>
                  </pic:blipFill>
                  <pic:spPr>
                    <a:xfrm>
                      <a:off x="0" y="0"/>
                      <a:ext cx="7699375" cy="5384800"/>
                    </a:xfrm>
                    <a:prstGeom prst="rect">
                      <a:avLst/>
                    </a:prstGeom>
                  </pic:spPr>
                </pic:pic>
              </a:graphicData>
            </a:graphic>
          </wp:inline>
        </w:drawing>
      </w:r>
    </w:p>
    <w:p>
      <w:pPr>
        <w:jc w:val="center"/>
        <w:rPr>
          <w:rFonts w:hint="default" w:ascii="Times New Roman" w:hAnsi="Times New Roman" w:eastAsia="黑体" w:cs="Times New Roman"/>
          <w:bCs/>
          <w:sz w:val="28"/>
          <w:szCs w:val="28"/>
        </w:rPr>
        <w:sectPr>
          <w:pgSz w:w="16838" w:h="11906" w:orient="landscape"/>
          <w:pgMar w:top="1418" w:right="1247" w:bottom="1246" w:left="1247" w:header="851" w:footer="638"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eastAsia="黑体" w:cs="Times New Roman"/>
          <w:bCs/>
          <w:sz w:val="28"/>
          <w:szCs w:val="28"/>
        </w:rPr>
        <w:t xml:space="preserve">图2  </w:t>
      </w:r>
      <w:r>
        <w:rPr>
          <w:rFonts w:hint="default" w:ascii="Times New Roman" w:hAnsi="Times New Roman" w:eastAsia="黑体" w:cs="Times New Roman"/>
          <w:sz w:val="28"/>
          <w:szCs w:val="28"/>
          <w:lang w:eastAsia="zh-CN"/>
        </w:rPr>
        <w:t>2018</w:t>
      </w:r>
      <w:r>
        <w:rPr>
          <w:rFonts w:hint="default" w:ascii="Times New Roman" w:hAnsi="Times New Roman" w:eastAsia="黑体" w:cs="Times New Roman"/>
          <w:sz w:val="28"/>
          <w:szCs w:val="28"/>
        </w:rPr>
        <w:t>年郑州市年降水量等值线图</w:t>
      </w:r>
    </w:p>
    <w:p>
      <w:pPr>
        <w:pStyle w:val="5"/>
        <w:snapToGrid w:val="0"/>
        <w:spacing w:before="0" w:after="0" w:line="360" w:lineRule="auto"/>
        <w:ind w:firstLine="0" w:firstLineChars="0"/>
        <w:jc w:val="left"/>
        <w:rPr>
          <w:rFonts w:hint="default" w:ascii="Times New Roman" w:hAnsi="Times New Roman" w:eastAsia="仿宋" w:cs="Times New Roman"/>
        </w:rPr>
      </w:pPr>
      <w:bookmarkStart w:id="7" w:name="_Toc14621"/>
      <w:r>
        <w:rPr>
          <w:rFonts w:hint="default" w:ascii="Times New Roman" w:hAnsi="Times New Roman" w:eastAsia="仿宋" w:cs="Times New Roman"/>
        </w:rPr>
        <w:t>2.2.1 地表水资源的分布</w:t>
      </w:r>
      <w:bookmarkEnd w:id="7"/>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年郑州市各县市地表水径流深在</w:t>
      </w:r>
      <w:r>
        <w:rPr>
          <w:rFonts w:hint="default" w:ascii="Times New Roman" w:hAnsi="Times New Roman" w:eastAsia="仿宋" w:cs="Times New Roman"/>
          <w:sz w:val="30"/>
          <w:szCs w:val="30"/>
          <w:lang w:val="en-US" w:eastAsia="zh-CN"/>
        </w:rPr>
        <w:t>44.5</w:t>
      </w:r>
      <w:r>
        <w:rPr>
          <w:rFonts w:hint="default" w:ascii="Times New Roman" w:hAnsi="Times New Roman" w:eastAsia="仿宋" w:cs="Times New Roman"/>
          <w:sz w:val="30"/>
          <w:szCs w:val="30"/>
        </w:rPr>
        <w:t>mm～</w:t>
      </w:r>
      <w:r>
        <w:rPr>
          <w:rFonts w:hint="default" w:ascii="Times New Roman" w:hAnsi="Times New Roman" w:eastAsia="仿宋" w:cs="Times New Roman"/>
          <w:sz w:val="30"/>
          <w:szCs w:val="30"/>
          <w:lang w:val="en-US" w:eastAsia="zh-CN"/>
        </w:rPr>
        <w:t>55.1</w:t>
      </w:r>
      <w:r>
        <w:rPr>
          <w:rFonts w:hint="default" w:ascii="Times New Roman" w:hAnsi="Times New Roman" w:eastAsia="仿宋" w:cs="Times New Roman"/>
          <w:sz w:val="30"/>
          <w:szCs w:val="30"/>
        </w:rPr>
        <w:t>mm之间。其中，</w:t>
      </w:r>
      <w:r>
        <w:rPr>
          <w:rFonts w:hint="default" w:ascii="Times New Roman" w:hAnsi="Times New Roman" w:eastAsia="仿宋" w:cs="Times New Roman"/>
          <w:sz w:val="30"/>
          <w:szCs w:val="30"/>
          <w:lang w:val="en-US" w:eastAsia="zh-CN"/>
        </w:rPr>
        <w:t>新密市</w:t>
      </w:r>
      <w:r>
        <w:rPr>
          <w:rFonts w:hint="default" w:ascii="Times New Roman" w:hAnsi="Times New Roman" w:eastAsia="仿宋" w:cs="Times New Roman"/>
          <w:sz w:val="30"/>
          <w:szCs w:val="30"/>
        </w:rPr>
        <w:t>地表水径流深最大，为</w:t>
      </w:r>
      <w:r>
        <w:rPr>
          <w:rFonts w:hint="default" w:ascii="Times New Roman" w:hAnsi="Times New Roman" w:eastAsia="仿宋" w:cs="Times New Roman"/>
          <w:sz w:val="30"/>
          <w:szCs w:val="30"/>
          <w:lang w:val="en-US" w:eastAsia="zh-CN"/>
        </w:rPr>
        <w:t>55.1</w:t>
      </w:r>
      <w:r>
        <w:rPr>
          <w:rFonts w:hint="default" w:ascii="Times New Roman" w:hAnsi="Times New Roman" w:eastAsia="仿宋" w:cs="Times New Roman"/>
          <w:sz w:val="30"/>
          <w:szCs w:val="30"/>
        </w:rPr>
        <w:t>mm；</w:t>
      </w:r>
      <w:r>
        <w:rPr>
          <w:rFonts w:hint="default" w:ascii="Times New Roman" w:hAnsi="Times New Roman" w:eastAsia="仿宋" w:cs="Times New Roman"/>
          <w:sz w:val="30"/>
          <w:szCs w:val="30"/>
          <w:lang w:val="en-US" w:eastAsia="zh-CN"/>
        </w:rPr>
        <w:t>中牟县</w:t>
      </w:r>
      <w:r>
        <w:rPr>
          <w:rFonts w:hint="default" w:ascii="Times New Roman" w:hAnsi="Times New Roman" w:eastAsia="仿宋" w:cs="Times New Roman"/>
          <w:sz w:val="30"/>
          <w:szCs w:val="30"/>
        </w:rPr>
        <w:t>地表水径流深最小，为</w:t>
      </w:r>
      <w:r>
        <w:rPr>
          <w:rFonts w:hint="default" w:ascii="Times New Roman" w:hAnsi="Times New Roman" w:eastAsia="仿宋" w:cs="Times New Roman"/>
          <w:sz w:val="30"/>
          <w:szCs w:val="30"/>
          <w:lang w:val="en-US" w:eastAsia="zh-CN"/>
        </w:rPr>
        <w:t>44.5</w:t>
      </w:r>
      <w:r>
        <w:rPr>
          <w:rFonts w:hint="default" w:ascii="Times New Roman" w:hAnsi="Times New Roman" w:eastAsia="仿宋" w:cs="Times New Roman"/>
          <w:sz w:val="30"/>
          <w:szCs w:val="30"/>
        </w:rPr>
        <w:t>mm。详见表2，图3。</w:t>
      </w:r>
    </w:p>
    <w:p>
      <w:pPr>
        <w:pStyle w:val="2"/>
        <w:spacing w:line="360" w:lineRule="auto"/>
        <w:ind w:left="0" w:leftChars="0" w:firstLine="0" w:firstLineChars="0"/>
        <w:jc w:val="center"/>
        <w:rPr>
          <w:rFonts w:hint="default"/>
        </w:rPr>
      </w:pPr>
      <w:r>
        <w:rPr>
          <w:rFonts w:hint="eastAsia" w:eastAsia="黑体" w:cs="Times New Roman"/>
          <w:bCs/>
          <w:sz w:val="28"/>
          <w:szCs w:val="28"/>
          <w:lang w:val="en-US" w:eastAsia="zh-CN"/>
        </w:rPr>
        <w:t xml:space="preserve">表2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年郑州市行政分区地表水资源</w:t>
      </w:r>
    </w:p>
    <w:tbl>
      <w:tblPr>
        <w:tblStyle w:val="23"/>
        <w:tblW w:w="9122" w:type="dxa"/>
        <w:tblInd w:w="195" w:type="dxa"/>
        <w:tblLayout w:type="fixed"/>
        <w:tblCellMar>
          <w:top w:w="0" w:type="dxa"/>
          <w:left w:w="0" w:type="dxa"/>
          <w:bottom w:w="0" w:type="dxa"/>
          <w:right w:w="0" w:type="dxa"/>
        </w:tblCellMar>
      </w:tblPr>
      <w:tblGrid>
        <w:gridCol w:w="1079"/>
        <w:gridCol w:w="1214"/>
        <w:gridCol w:w="1310"/>
        <w:gridCol w:w="1158"/>
        <w:gridCol w:w="1564"/>
        <w:gridCol w:w="1412"/>
        <w:gridCol w:w="1385"/>
      </w:tblGrid>
      <w:tr>
        <w:tblPrEx>
          <w:tblLayout w:type="fixed"/>
        </w:tblPrEx>
        <w:trPr>
          <w:trHeight w:val="353" w:hRule="atLeast"/>
        </w:trPr>
        <w:tc>
          <w:tcPr>
            <w:tcW w:w="1079" w:type="dxa"/>
            <w:tcBorders>
              <w:top w:val="single" w:color="auto" w:sz="12" w:space="0"/>
              <w:bottom w:val="single" w:color="auto" w:sz="12"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w:t>
            </w:r>
          </w:p>
          <w:p>
            <w:pPr>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区名称</w:t>
            </w:r>
          </w:p>
        </w:tc>
        <w:tc>
          <w:tcPr>
            <w:tcW w:w="1214"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计算面积（km</w:t>
            </w:r>
            <w:r>
              <w:rPr>
                <w:rFonts w:hint="default" w:ascii="Times New Roman" w:hAnsi="Times New Roman" w:eastAsia="仿宋" w:cs="Times New Roman"/>
                <w:sz w:val="24"/>
                <w:vertAlign w:val="superscript"/>
              </w:rPr>
              <w:t>2</w:t>
            </w:r>
            <w:r>
              <w:rPr>
                <w:rFonts w:hint="default" w:ascii="Times New Roman" w:hAnsi="Times New Roman" w:eastAsia="仿宋" w:cs="Times New Roman"/>
                <w:sz w:val="24"/>
              </w:rPr>
              <w:t>）</w:t>
            </w:r>
          </w:p>
        </w:tc>
        <w:tc>
          <w:tcPr>
            <w:tcW w:w="1310"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地表水</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资源量</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（亿m</w:t>
            </w:r>
            <w:r>
              <w:rPr>
                <w:rFonts w:hint="default" w:ascii="Times New Roman" w:hAnsi="Times New Roman" w:eastAsia="仿宋" w:cs="Times New Roman"/>
                <w:sz w:val="24"/>
                <w:vertAlign w:val="superscript"/>
              </w:rPr>
              <w:t>3</w:t>
            </w:r>
            <w:r>
              <w:rPr>
                <w:rFonts w:hint="default" w:ascii="Times New Roman" w:hAnsi="Times New Roman" w:eastAsia="仿宋" w:cs="Times New Roman"/>
                <w:sz w:val="24"/>
              </w:rPr>
              <w:t>）</w:t>
            </w:r>
          </w:p>
        </w:tc>
        <w:tc>
          <w:tcPr>
            <w:tcW w:w="1158"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径流深（mm）</w:t>
            </w:r>
          </w:p>
        </w:tc>
        <w:tc>
          <w:tcPr>
            <w:tcW w:w="1564"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hint="eastAsia" w:ascii="Times New Roman" w:hAnsi="Times New Roman" w:eastAsia="仿宋" w:cs="Times New Roman"/>
                <w:sz w:val="24"/>
                <w:lang w:eastAsia="zh-CN"/>
              </w:rPr>
            </w:pPr>
            <w:r>
              <w:rPr>
                <w:rFonts w:hint="eastAsia" w:eastAsia="仿宋" w:cs="Times New Roman"/>
                <w:sz w:val="24"/>
                <w:lang w:eastAsia="zh-CN"/>
              </w:rPr>
              <w:t>多年均值</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水资源量</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（亿m</w:t>
            </w:r>
            <w:r>
              <w:rPr>
                <w:rFonts w:hint="default" w:ascii="Times New Roman" w:hAnsi="Times New Roman" w:eastAsia="仿宋" w:cs="Times New Roman"/>
                <w:sz w:val="24"/>
                <w:vertAlign w:val="superscript"/>
              </w:rPr>
              <w:t>3</w:t>
            </w:r>
            <w:r>
              <w:rPr>
                <w:rFonts w:hint="default" w:ascii="Times New Roman" w:hAnsi="Times New Roman" w:eastAsia="仿宋" w:cs="Times New Roman"/>
                <w:sz w:val="24"/>
              </w:rPr>
              <w:t>）</w:t>
            </w:r>
          </w:p>
        </w:tc>
        <w:tc>
          <w:tcPr>
            <w:tcW w:w="1412" w:type="dxa"/>
            <w:tcBorders>
              <w:top w:val="single" w:color="auto" w:sz="12" w:space="0"/>
              <w:left w:val="nil"/>
              <w:bottom w:val="single" w:color="auto" w:sz="12"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与上年</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比较</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w:t>
            </w:r>
          </w:p>
        </w:tc>
        <w:tc>
          <w:tcPr>
            <w:tcW w:w="1385" w:type="dxa"/>
            <w:tcBorders>
              <w:top w:val="single" w:color="auto" w:sz="12" w:space="0"/>
              <w:left w:val="nil"/>
              <w:bottom w:val="single" w:color="auto" w:sz="12" w:space="0"/>
            </w:tcBorders>
            <w:tcMar>
              <w:top w:w="15" w:type="dxa"/>
              <w:left w:w="15" w:type="dxa"/>
              <w:bottom w:w="0" w:type="dxa"/>
              <w:right w:w="15" w:type="dxa"/>
            </w:tcMar>
            <w:vAlign w:val="center"/>
          </w:tcPr>
          <w:p>
            <w:pPr>
              <w:jc w:val="center"/>
              <w:rPr>
                <w:rFonts w:hint="eastAsia" w:ascii="Times New Roman" w:hAnsi="Times New Roman" w:eastAsia="仿宋" w:cs="Times New Roman"/>
                <w:sz w:val="24"/>
                <w:lang w:eastAsia="zh-CN"/>
              </w:rPr>
            </w:pPr>
            <w:r>
              <w:rPr>
                <w:rFonts w:hint="default" w:ascii="Times New Roman" w:hAnsi="Times New Roman" w:eastAsia="仿宋" w:cs="Times New Roman"/>
                <w:sz w:val="24"/>
              </w:rPr>
              <w:t>与</w:t>
            </w:r>
            <w:r>
              <w:rPr>
                <w:rFonts w:hint="eastAsia" w:eastAsia="仿宋" w:cs="Times New Roman"/>
                <w:sz w:val="24"/>
                <w:lang w:eastAsia="zh-CN"/>
              </w:rPr>
              <w:t>多年均值</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 xml:space="preserve">比较 </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 xml:space="preserve"> （±%）</w:t>
            </w:r>
          </w:p>
        </w:tc>
      </w:tr>
      <w:tr>
        <w:tblPrEx>
          <w:tblLayout w:type="fixed"/>
          <w:tblCellMar>
            <w:top w:w="0" w:type="dxa"/>
            <w:left w:w="0" w:type="dxa"/>
            <w:bottom w:w="0" w:type="dxa"/>
            <w:right w:w="0" w:type="dxa"/>
          </w:tblCellMar>
        </w:tblPrEx>
        <w:trPr>
          <w:trHeight w:val="277" w:hRule="atLeast"/>
        </w:trPr>
        <w:tc>
          <w:tcPr>
            <w:tcW w:w="1079" w:type="dxa"/>
            <w:tcBorders>
              <w:top w:val="single" w:color="auto" w:sz="12" w:space="0"/>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新密市</w:t>
            </w:r>
          </w:p>
        </w:tc>
        <w:tc>
          <w:tcPr>
            <w:tcW w:w="1214"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978.0</w:t>
            </w:r>
          </w:p>
        </w:tc>
        <w:tc>
          <w:tcPr>
            <w:tcW w:w="1310"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0.5385</w:t>
            </w:r>
          </w:p>
        </w:tc>
        <w:tc>
          <w:tcPr>
            <w:tcW w:w="1158"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55.1</w:t>
            </w:r>
          </w:p>
        </w:tc>
        <w:tc>
          <w:tcPr>
            <w:tcW w:w="1564"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0.9669</w:t>
            </w:r>
          </w:p>
        </w:tc>
        <w:tc>
          <w:tcPr>
            <w:tcW w:w="1412" w:type="dxa"/>
            <w:tcBorders>
              <w:top w:val="single" w:color="auto" w:sz="12"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29.9</w:t>
            </w:r>
          </w:p>
        </w:tc>
        <w:tc>
          <w:tcPr>
            <w:tcW w:w="1385" w:type="dxa"/>
            <w:tcBorders>
              <w:top w:val="single" w:color="auto" w:sz="12" w:space="0"/>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-44.3</w:t>
            </w:r>
          </w:p>
        </w:tc>
      </w:tr>
      <w:tr>
        <w:tblPrEx>
          <w:tblLayout w:type="fixed"/>
          <w:tblCellMar>
            <w:top w:w="0" w:type="dxa"/>
            <w:left w:w="0" w:type="dxa"/>
            <w:bottom w:w="0" w:type="dxa"/>
            <w:right w:w="0" w:type="dxa"/>
          </w:tblCellMar>
        </w:tblPrEx>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新郑市</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713.0</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0.3347</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46.9</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0.6325</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9.74</w:t>
            </w:r>
          </w:p>
        </w:tc>
        <w:tc>
          <w:tcPr>
            <w:tcW w:w="1385" w:type="dxa"/>
            <w:tcBorders>
              <w:top w:val="nil"/>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-47.1</w:t>
            </w:r>
          </w:p>
        </w:tc>
      </w:tr>
      <w:tr>
        <w:tblPrEx>
          <w:tblLayout w:type="fixed"/>
          <w:tblCellMar>
            <w:top w:w="0" w:type="dxa"/>
            <w:left w:w="0" w:type="dxa"/>
            <w:bottom w:w="0" w:type="dxa"/>
            <w:right w:w="0" w:type="dxa"/>
          </w:tblCellMar>
        </w:tblPrEx>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荥阳市</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892.2</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0.5450</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44.7</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0.7583</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4.19</w:t>
            </w:r>
          </w:p>
        </w:tc>
        <w:tc>
          <w:tcPr>
            <w:tcW w:w="1385" w:type="dxa"/>
            <w:tcBorders>
              <w:top w:val="nil"/>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-28.1</w:t>
            </w:r>
          </w:p>
        </w:tc>
      </w:tr>
      <w:tr>
        <w:tblPrEx>
          <w:tblLayout w:type="fixed"/>
          <w:tblCellMar>
            <w:top w:w="0" w:type="dxa"/>
            <w:left w:w="0" w:type="dxa"/>
            <w:bottom w:w="0" w:type="dxa"/>
            <w:right w:w="0" w:type="dxa"/>
          </w:tblCellMar>
        </w:tblPrEx>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登封市</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1219.0</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0.4342</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48.7</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1.5190</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1.47</w:t>
            </w:r>
          </w:p>
        </w:tc>
        <w:tc>
          <w:tcPr>
            <w:tcW w:w="1385" w:type="dxa"/>
            <w:tcBorders>
              <w:top w:val="nil"/>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-71.4</w:t>
            </w:r>
          </w:p>
        </w:tc>
      </w:tr>
      <w:tr>
        <w:tblPrEx>
          <w:tblLayout w:type="fixed"/>
          <w:tblCellMar>
            <w:top w:w="0" w:type="dxa"/>
            <w:left w:w="0" w:type="dxa"/>
            <w:bottom w:w="0" w:type="dxa"/>
            <w:right w:w="0" w:type="dxa"/>
          </w:tblCellMar>
        </w:tblPrEx>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中牟县</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1203.0</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0.5356</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44.5</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0.9214</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10.9</w:t>
            </w:r>
          </w:p>
        </w:tc>
        <w:tc>
          <w:tcPr>
            <w:tcW w:w="1385" w:type="dxa"/>
            <w:tcBorders>
              <w:top w:val="nil"/>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-41.9</w:t>
            </w:r>
          </w:p>
        </w:tc>
      </w:tr>
      <w:tr>
        <w:tblPrEx>
          <w:tblLayout w:type="fixed"/>
          <w:tblCellMar>
            <w:top w:w="0" w:type="dxa"/>
            <w:left w:w="0" w:type="dxa"/>
            <w:bottom w:w="0" w:type="dxa"/>
            <w:right w:w="0" w:type="dxa"/>
          </w:tblCellMar>
        </w:tblPrEx>
        <w:trPr>
          <w:trHeight w:val="277" w:hRule="atLeast"/>
        </w:trPr>
        <w:tc>
          <w:tcPr>
            <w:tcW w:w="1079" w:type="dxa"/>
            <w:tcBorders>
              <w:top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郑州市区</w:t>
            </w:r>
          </w:p>
        </w:tc>
        <w:tc>
          <w:tcPr>
            <w:tcW w:w="121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992.6</w:t>
            </w:r>
          </w:p>
        </w:tc>
        <w:tc>
          <w:tcPr>
            <w:tcW w:w="131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0.4885</w:t>
            </w:r>
          </w:p>
        </w:tc>
        <w:tc>
          <w:tcPr>
            <w:tcW w:w="1158"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49.2</w:t>
            </w:r>
          </w:p>
        </w:tc>
        <w:tc>
          <w:tcPr>
            <w:tcW w:w="1564"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0.8146</w:t>
            </w:r>
          </w:p>
        </w:tc>
        <w:tc>
          <w:tcPr>
            <w:tcW w:w="1412"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0.91</w:t>
            </w:r>
          </w:p>
        </w:tc>
        <w:tc>
          <w:tcPr>
            <w:tcW w:w="1385" w:type="dxa"/>
            <w:tcBorders>
              <w:top w:val="nil"/>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-40.0</w:t>
            </w:r>
          </w:p>
        </w:tc>
      </w:tr>
      <w:tr>
        <w:tblPrEx>
          <w:tblLayout w:type="fixed"/>
          <w:tblCellMar>
            <w:top w:w="0" w:type="dxa"/>
            <w:left w:w="0" w:type="dxa"/>
            <w:bottom w:w="0" w:type="dxa"/>
            <w:right w:w="0" w:type="dxa"/>
          </w:tblCellMar>
        </w:tblPrEx>
        <w:trPr>
          <w:trHeight w:val="277" w:hRule="atLeast"/>
        </w:trPr>
        <w:tc>
          <w:tcPr>
            <w:tcW w:w="1079" w:type="dxa"/>
            <w:tcBorders>
              <w:top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航空港区</w:t>
            </w:r>
          </w:p>
        </w:tc>
        <w:tc>
          <w:tcPr>
            <w:tcW w:w="121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415.0</w:t>
            </w:r>
          </w:p>
        </w:tc>
        <w:tc>
          <w:tcPr>
            <w:tcW w:w="13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0.1941</w:t>
            </w:r>
          </w:p>
        </w:tc>
        <w:tc>
          <w:tcPr>
            <w:tcW w:w="11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46.8</w:t>
            </w:r>
          </w:p>
        </w:tc>
        <w:tc>
          <w:tcPr>
            <w:tcW w:w="156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0.2875</w:t>
            </w:r>
          </w:p>
        </w:tc>
        <w:tc>
          <w:tcPr>
            <w:tcW w:w="14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38.8</w:t>
            </w:r>
          </w:p>
        </w:tc>
        <w:tc>
          <w:tcPr>
            <w:tcW w:w="1385" w:type="dxa"/>
            <w:tcBorders>
              <w:top w:val="single" w:color="auto" w:sz="4" w:space="0"/>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-32.5</w:t>
            </w:r>
          </w:p>
        </w:tc>
      </w:tr>
      <w:tr>
        <w:tblPrEx>
          <w:tblLayout w:type="fixed"/>
          <w:tblCellMar>
            <w:top w:w="0" w:type="dxa"/>
            <w:left w:w="0" w:type="dxa"/>
            <w:bottom w:w="0" w:type="dxa"/>
            <w:right w:w="0" w:type="dxa"/>
          </w:tblCellMar>
        </w:tblPrEx>
        <w:trPr>
          <w:trHeight w:val="277" w:hRule="atLeast"/>
        </w:trPr>
        <w:tc>
          <w:tcPr>
            <w:tcW w:w="1079" w:type="dxa"/>
            <w:tcBorders>
              <w:top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上街区</w:t>
            </w:r>
          </w:p>
        </w:tc>
        <w:tc>
          <w:tcPr>
            <w:tcW w:w="121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57.5</w:t>
            </w:r>
          </w:p>
        </w:tc>
        <w:tc>
          <w:tcPr>
            <w:tcW w:w="13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0.0266</w:t>
            </w:r>
          </w:p>
        </w:tc>
        <w:tc>
          <w:tcPr>
            <w:tcW w:w="11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46.3</w:t>
            </w:r>
          </w:p>
        </w:tc>
        <w:tc>
          <w:tcPr>
            <w:tcW w:w="156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0.0484</w:t>
            </w:r>
          </w:p>
        </w:tc>
        <w:tc>
          <w:tcPr>
            <w:tcW w:w="14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9.47</w:t>
            </w:r>
          </w:p>
        </w:tc>
        <w:tc>
          <w:tcPr>
            <w:tcW w:w="1385" w:type="dxa"/>
            <w:tcBorders>
              <w:top w:val="single" w:color="auto" w:sz="4" w:space="0"/>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-45.1</w:t>
            </w:r>
          </w:p>
        </w:tc>
      </w:tr>
      <w:tr>
        <w:tblPrEx>
          <w:tblLayout w:type="fixed"/>
          <w:tblCellMar>
            <w:top w:w="0" w:type="dxa"/>
            <w:left w:w="0" w:type="dxa"/>
            <w:bottom w:w="0" w:type="dxa"/>
            <w:right w:w="0" w:type="dxa"/>
          </w:tblCellMar>
        </w:tblPrEx>
        <w:trPr>
          <w:trHeight w:val="277" w:hRule="atLeast"/>
        </w:trPr>
        <w:tc>
          <w:tcPr>
            <w:tcW w:w="1079" w:type="dxa"/>
            <w:tcBorders>
              <w:top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巩义市</w:t>
            </w:r>
          </w:p>
        </w:tc>
        <w:tc>
          <w:tcPr>
            <w:tcW w:w="121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1041</w:t>
            </w:r>
          </w:p>
        </w:tc>
        <w:tc>
          <w:tcPr>
            <w:tcW w:w="13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0.5452</w:t>
            </w:r>
          </w:p>
        </w:tc>
        <w:tc>
          <w:tcPr>
            <w:tcW w:w="11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52.4</w:t>
            </w:r>
          </w:p>
        </w:tc>
        <w:tc>
          <w:tcPr>
            <w:tcW w:w="156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1.0875</w:t>
            </w:r>
          </w:p>
        </w:tc>
        <w:tc>
          <w:tcPr>
            <w:tcW w:w="14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20.01</w:t>
            </w:r>
          </w:p>
        </w:tc>
        <w:tc>
          <w:tcPr>
            <w:tcW w:w="1385" w:type="dxa"/>
            <w:tcBorders>
              <w:top w:val="single" w:color="auto" w:sz="4" w:space="0"/>
              <w:left w:val="nil"/>
              <w:bottom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-49.9</w:t>
            </w:r>
          </w:p>
        </w:tc>
      </w:tr>
      <w:tr>
        <w:tblPrEx>
          <w:tblLayout w:type="fixed"/>
          <w:tblCellMar>
            <w:top w:w="0" w:type="dxa"/>
            <w:left w:w="0" w:type="dxa"/>
            <w:bottom w:w="0" w:type="dxa"/>
            <w:right w:w="0" w:type="dxa"/>
          </w:tblCellMar>
        </w:tblPrEx>
        <w:trPr>
          <w:trHeight w:val="277" w:hRule="atLeast"/>
        </w:trPr>
        <w:tc>
          <w:tcPr>
            <w:tcW w:w="1079" w:type="dxa"/>
            <w:tcBorders>
              <w:top w:val="single" w:color="auto" w:sz="4" w:space="0"/>
              <w:bottom w:val="single" w:color="auto" w:sz="12"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eastAsia" w:ascii="仿宋" w:hAnsi="仿宋" w:eastAsia="仿宋" w:cs="仿宋"/>
                <w:i w:val="0"/>
                <w:color w:val="000000"/>
                <w:kern w:val="0"/>
                <w:sz w:val="24"/>
                <w:szCs w:val="24"/>
                <w:u w:val="none"/>
                <w:lang w:val="en-US" w:eastAsia="zh-CN" w:bidi="ar"/>
              </w:rPr>
              <w:t>合计</w:t>
            </w:r>
          </w:p>
        </w:tc>
        <w:tc>
          <w:tcPr>
            <w:tcW w:w="1214"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7511.3</w:t>
            </w:r>
          </w:p>
        </w:tc>
        <w:tc>
          <w:tcPr>
            <w:tcW w:w="1310"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3.6424</w:t>
            </w:r>
          </w:p>
        </w:tc>
        <w:tc>
          <w:tcPr>
            <w:tcW w:w="1158"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48.5</w:t>
            </w:r>
          </w:p>
        </w:tc>
        <w:tc>
          <w:tcPr>
            <w:tcW w:w="1564"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7.0360</w:t>
            </w:r>
          </w:p>
        </w:tc>
        <w:tc>
          <w:tcPr>
            <w:tcW w:w="1412" w:type="dxa"/>
            <w:tcBorders>
              <w:top w:val="single" w:color="auto" w:sz="4" w:space="0"/>
              <w:left w:val="nil"/>
              <w:bottom w:val="single" w:color="auto" w:sz="12" w:space="0"/>
              <w:right w:val="single" w:color="auto" w:sz="4"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11.9</w:t>
            </w:r>
          </w:p>
        </w:tc>
        <w:tc>
          <w:tcPr>
            <w:tcW w:w="1385" w:type="dxa"/>
            <w:tcBorders>
              <w:top w:val="single" w:color="auto" w:sz="4" w:space="0"/>
              <w:left w:val="nil"/>
              <w:bottom w:val="single" w:color="auto" w:sz="12" w:space="0"/>
            </w:tcBorders>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-48.2</w:t>
            </w:r>
          </w:p>
        </w:tc>
      </w:tr>
    </w:tbl>
    <w:p>
      <w:pPr>
        <w:spacing w:line="360" w:lineRule="auto"/>
        <w:jc w:val="center"/>
        <w:rPr>
          <w:rFonts w:hint="default" w:ascii="Times New Roman" w:hAnsi="Times New Roman" w:eastAsia="仿宋" w:cs="Times New Roman"/>
          <w:sz w:val="28"/>
          <w:szCs w:val="28"/>
        </w:rPr>
      </w:pPr>
      <w:r>
        <w:drawing>
          <wp:inline distT="0" distB="0" distL="114300" distR="114300">
            <wp:extent cx="5972810" cy="323405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default" w:ascii="Times New Roman" w:hAnsi="Times New Roman" w:eastAsia="黑体" w:cs="Times New Roman"/>
          <w:bCs/>
          <w:sz w:val="28"/>
          <w:szCs w:val="28"/>
        </w:rPr>
        <w:t xml:space="preserve">图3  </w:t>
      </w:r>
      <w:r>
        <w:rPr>
          <w:rFonts w:hint="default" w:ascii="Times New Roman" w:hAnsi="Times New Roman" w:eastAsia="黑体" w:cs="Times New Roman"/>
          <w:sz w:val="28"/>
          <w:szCs w:val="28"/>
          <w:lang w:eastAsia="zh-CN"/>
        </w:rPr>
        <w:t>2018</w:t>
      </w:r>
      <w:r>
        <w:rPr>
          <w:rFonts w:hint="default" w:ascii="Times New Roman" w:hAnsi="Times New Roman" w:eastAsia="黑体" w:cs="Times New Roman"/>
          <w:sz w:val="28"/>
          <w:szCs w:val="28"/>
        </w:rPr>
        <w:t>年郑州市地表水资源量</w:t>
      </w:r>
      <w:r>
        <w:rPr>
          <w:rFonts w:hint="eastAsia" w:eastAsia="黑体" w:cs="Times New Roman"/>
          <w:sz w:val="28"/>
          <w:szCs w:val="28"/>
          <w:lang w:val="en-US" w:eastAsia="zh-CN"/>
        </w:rPr>
        <w:t>与多年均值</w:t>
      </w:r>
      <w:r>
        <w:rPr>
          <w:rFonts w:hint="default" w:ascii="Times New Roman" w:hAnsi="Times New Roman" w:eastAsia="黑体" w:cs="Times New Roman"/>
          <w:sz w:val="28"/>
          <w:szCs w:val="28"/>
        </w:rPr>
        <w:t>对比图</w:t>
      </w:r>
    </w:p>
    <w:p>
      <w:pPr>
        <w:pStyle w:val="5"/>
        <w:snapToGrid w:val="0"/>
        <w:spacing w:before="0" w:after="0" w:line="360" w:lineRule="auto"/>
        <w:ind w:firstLine="199" w:firstLineChars="62"/>
        <w:jc w:val="left"/>
        <w:rPr>
          <w:rFonts w:hint="default" w:ascii="Times New Roman" w:hAnsi="Times New Roman" w:eastAsia="仿宋" w:cs="Times New Roman"/>
        </w:rPr>
      </w:pPr>
      <w:bookmarkStart w:id="8" w:name="_Toc11257"/>
      <w:r>
        <w:rPr>
          <w:rFonts w:hint="default" w:ascii="Times New Roman" w:hAnsi="Times New Roman" w:eastAsia="仿宋" w:cs="Times New Roman"/>
        </w:rPr>
        <w:t>2.2.2 实测和天然径流量及其变化</w:t>
      </w:r>
      <w:bookmarkEnd w:id="8"/>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郑州市三条主要河流</w:t>
      </w:r>
      <w:r>
        <w:rPr>
          <w:rFonts w:hint="default" w:ascii="Times New Roman" w:hAnsi="Times New Roman" w:eastAsia="仿宋" w:cs="Times New Roman"/>
          <w:sz w:val="30"/>
          <w:szCs w:val="30"/>
          <w:lang w:val="en-US" w:eastAsia="zh-CN"/>
        </w:rPr>
        <w:t>为</w:t>
      </w:r>
      <w:r>
        <w:rPr>
          <w:rFonts w:hint="default" w:ascii="Times New Roman" w:hAnsi="Times New Roman" w:eastAsia="仿宋" w:cs="Times New Roman"/>
          <w:sz w:val="30"/>
          <w:szCs w:val="30"/>
        </w:rPr>
        <w:t>颍河、双洎河和贾鲁河，其代表水文站分别为告成水文站、新郑水文站和中牟水文站。根据三个水文站的实测资料统计分析，告成水文站实测年径流量0.2</w:t>
      </w:r>
      <w:r>
        <w:rPr>
          <w:rFonts w:hint="default" w:ascii="Times New Roman" w:hAnsi="Times New Roman" w:eastAsia="仿宋" w:cs="Times New Roman"/>
          <w:sz w:val="30"/>
          <w:szCs w:val="30"/>
          <w:lang w:val="en-US" w:eastAsia="zh-CN"/>
        </w:rPr>
        <w:t>94</w:t>
      </w:r>
      <w:r>
        <w:rPr>
          <w:rFonts w:hint="default" w:ascii="Times New Roman" w:hAnsi="Times New Roman" w:eastAsia="仿宋" w:cs="Times New Roman"/>
          <w:sz w:val="30"/>
          <w:szCs w:val="30"/>
        </w:rPr>
        <w:t>0亿m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，比上年增加0.00</w:t>
      </w:r>
      <w:r>
        <w:rPr>
          <w:rFonts w:hint="default" w:ascii="Times New Roman" w:hAnsi="Times New Roman" w:eastAsia="仿宋" w:cs="Times New Roman"/>
          <w:sz w:val="30"/>
          <w:szCs w:val="30"/>
          <w:lang w:val="en-US" w:eastAsia="zh-CN"/>
        </w:rPr>
        <w:t>70</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；新郑水文站实测年径流量</w:t>
      </w:r>
      <w:r>
        <w:rPr>
          <w:rFonts w:hint="default" w:ascii="Times New Roman" w:hAnsi="Times New Roman" w:eastAsia="仿宋" w:cs="Times New Roman"/>
          <w:sz w:val="30"/>
          <w:szCs w:val="30"/>
          <w:lang w:val="en-US" w:eastAsia="zh-CN"/>
        </w:rPr>
        <w:t>1.1358</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，比上年增加0.2</w:t>
      </w:r>
      <w:r>
        <w:rPr>
          <w:rFonts w:hint="default" w:ascii="Times New Roman" w:hAnsi="Times New Roman" w:eastAsia="仿宋" w:cs="Times New Roman"/>
          <w:sz w:val="30"/>
          <w:szCs w:val="30"/>
          <w:lang w:val="en-US" w:eastAsia="zh-CN"/>
        </w:rPr>
        <w:t>342</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；中牟水文站实测年径流量5.</w:t>
      </w:r>
      <w:r>
        <w:rPr>
          <w:rFonts w:hint="default" w:ascii="Times New Roman" w:hAnsi="Times New Roman" w:eastAsia="仿宋" w:cs="Times New Roman"/>
          <w:sz w:val="30"/>
          <w:szCs w:val="30"/>
          <w:lang w:val="en-US" w:eastAsia="zh-CN"/>
        </w:rPr>
        <w:t>2083</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，比上年减少</w:t>
      </w:r>
      <w:r>
        <w:rPr>
          <w:rFonts w:hint="default" w:ascii="Times New Roman" w:hAnsi="Times New Roman" w:eastAsia="仿宋" w:cs="Times New Roman"/>
          <w:sz w:val="30"/>
          <w:szCs w:val="30"/>
          <w:lang w:val="en-US" w:eastAsia="zh-CN"/>
        </w:rPr>
        <w:t>0.7295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对实测河川径流量进行天然径流量还原计算，即将实测径流量加上实测断面以上的地表水利用水量，扣除回归部分、地下水开发利用退水和外区域工程引水量。通过分析计算，告成站天然径流量0.</w:t>
      </w:r>
      <w:r>
        <w:rPr>
          <w:rFonts w:hint="default" w:ascii="Times New Roman" w:hAnsi="Times New Roman" w:eastAsia="仿宋" w:cs="Times New Roman"/>
          <w:sz w:val="30"/>
          <w:szCs w:val="30"/>
          <w:lang w:val="en-US" w:eastAsia="zh-CN"/>
        </w:rPr>
        <w:t>3064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，比上年</w:t>
      </w:r>
      <w:r>
        <w:rPr>
          <w:rFonts w:hint="default" w:ascii="Times New Roman" w:hAnsi="Times New Roman" w:eastAsia="仿宋" w:cs="Times New Roman"/>
          <w:sz w:val="30"/>
          <w:szCs w:val="30"/>
          <w:lang w:val="en-US" w:eastAsia="zh-CN"/>
        </w:rPr>
        <w:t>增加1.5</w:t>
      </w:r>
      <w:r>
        <w:rPr>
          <w:rFonts w:hint="default" w:ascii="Times New Roman" w:hAnsi="Times New Roman" w:eastAsia="仿宋" w:cs="Times New Roman"/>
          <w:sz w:val="30"/>
          <w:szCs w:val="30"/>
        </w:rPr>
        <w:t>%；新郑站天然径流量0.</w:t>
      </w:r>
      <w:r>
        <w:rPr>
          <w:rFonts w:hint="default" w:ascii="Times New Roman" w:hAnsi="Times New Roman" w:eastAsia="仿宋" w:cs="Times New Roman"/>
          <w:sz w:val="30"/>
          <w:szCs w:val="30"/>
          <w:lang w:val="en-US" w:eastAsia="zh-CN"/>
        </w:rPr>
        <w:t>5767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，比上年</w:t>
      </w:r>
      <w:r>
        <w:rPr>
          <w:rFonts w:hint="default" w:ascii="Times New Roman" w:hAnsi="Times New Roman" w:eastAsia="仿宋" w:cs="Times New Roman"/>
          <w:sz w:val="30"/>
          <w:szCs w:val="30"/>
          <w:lang w:val="en-US" w:eastAsia="zh-CN"/>
        </w:rPr>
        <w:t>增加27.2</w:t>
      </w:r>
      <w:r>
        <w:rPr>
          <w:rFonts w:hint="default" w:ascii="Times New Roman" w:hAnsi="Times New Roman" w:eastAsia="仿宋" w:cs="Times New Roman"/>
          <w:sz w:val="30"/>
          <w:szCs w:val="30"/>
        </w:rPr>
        <w:t>%；中牟站天然径流量0.9</w:t>
      </w:r>
      <w:r>
        <w:rPr>
          <w:rFonts w:hint="default" w:ascii="Times New Roman" w:hAnsi="Times New Roman" w:eastAsia="仿宋" w:cs="Times New Roman"/>
          <w:sz w:val="30"/>
          <w:szCs w:val="30"/>
          <w:lang w:val="en-US" w:eastAsia="zh-CN"/>
        </w:rPr>
        <w:t>553</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，比上年</w:t>
      </w:r>
      <w:r>
        <w:rPr>
          <w:rFonts w:hint="default" w:ascii="Times New Roman" w:hAnsi="Times New Roman" w:eastAsia="仿宋" w:cs="Times New Roman"/>
          <w:sz w:val="30"/>
          <w:szCs w:val="30"/>
          <w:lang w:val="en-US" w:eastAsia="zh-CN"/>
        </w:rPr>
        <w:t>增加1.7</w:t>
      </w:r>
      <w:r>
        <w:rPr>
          <w:rFonts w:hint="default" w:ascii="Times New Roman" w:hAnsi="Times New Roman" w:eastAsia="仿宋" w:cs="Times New Roman"/>
          <w:sz w:val="30"/>
          <w:szCs w:val="30"/>
        </w:rPr>
        <w:t>%。详见表3。</w:t>
      </w:r>
    </w:p>
    <w:p>
      <w:pPr>
        <w:pStyle w:val="2"/>
        <w:ind w:left="0" w:leftChars="0" w:firstLine="0" w:firstLineChars="0"/>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表3</w:t>
      </w:r>
      <w:r>
        <w:rPr>
          <w:rFonts w:hint="eastAsia" w:ascii="Times New Roman" w:hAnsi="Times New Roman" w:eastAsia="黑体" w:cs="Times New Roman"/>
          <w:bCs/>
          <w:sz w:val="28"/>
          <w:szCs w:val="28"/>
          <w:lang w:val="en-US" w:eastAsia="zh-CN"/>
        </w:rPr>
        <w:t xml:space="preserve">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年郑州市主要水文站实测和天然径流量表</w:t>
      </w:r>
    </w:p>
    <w:p>
      <w:pPr>
        <w:pStyle w:val="2"/>
        <w:ind w:left="0" w:leftChars="0" w:firstLine="0" w:firstLineChars="0"/>
        <w:jc w:val="right"/>
        <w:rPr>
          <w:rFonts w:hint="default"/>
        </w:rPr>
      </w:pPr>
      <w:r>
        <w:rPr>
          <w:rFonts w:hint="eastAsia" w:eastAsia="黑体" w:cs="Times New Roman"/>
          <w:sz w:val="24"/>
          <w:lang w:val="en-US" w:eastAsia="zh-CN"/>
        </w:rPr>
        <w:t>水量</w:t>
      </w:r>
      <w:r>
        <w:rPr>
          <w:rFonts w:hint="default" w:ascii="Times New Roman" w:hAnsi="Times New Roman" w:eastAsia="黑体" w:cs="Times New Roman"/>
          <w:sz w:val="24"/>
        </w:rPr>
        <w:t>单位：</w:t>
      </w:r>
      <w:r>
        <w:rPr>
          <w:rFonts w:hint="eastAsia" w:eastAsia="黑体" w:cs="Times New Roman"/>
          <w:sz w:val="24"/>
          <w:lang w:val="en-US" w:eastAsia="zh-CN"/>
        </w:rPr>
        <w:t>万</w:t>
      </w:r>
      <w:r>
        <w:rPr>
          <w:rFonts w:hint="default" w:ascii="Times New Roman" w:hAnsi="Times New Roman" w:eastAsia="黑体" w:cs="Times New Roman"/>
          <w:sz w:val="24"/>
        </w:rPr>
        <w:t>m</w:t>
      </w:r>
      <w:r>
        <w:rPr>
          <w:rFonts w:hint="default" w:ascii="Times New Roman" w:hAnsi="Times New Roman" w:eastAsia="黑体" w:cs="Times New Roman"/>
          <w:sz w:val="24"/>
          <w:vertAlign w:val="superscript"/>
        </w:rPr>
        <w:t>3</w:t>
      </w:r>
    </w:p>
    <w:tbl>
      <w:tblPr>
        <w:tblStyle w:val="23"/>
        <w:tblW w:w="9227" w:type="dxa"/>
        <w:tblInd w:w="200" w:type="dxa"/>
        <w:tblLayout w:type="fixed"/>
        <w:tblCellMar>
          <w:top w:w="0" w:type="dxa"/>
          <w:left w:w="0" w:type="dxa"/>
          <w:bottom w:w="0" w:type="dxa"/>
          <w:right w:w="0" w:type="dxa"/>
        </w:tblCellMar>
      </w:tblPr>
      <w:tblGrid>
        <w:gridCol w:w="922"/>
        <w:gridCol w:w="923"/>
        <w:gridCol w:w="980"/>
        <w:gridCol w:w="1129"/>
        <w:gridCol w:w="1319"/>
        <w:gridCol w:w="1129"/>
        <w:gridCol w:w="1327"/>
        <w:gridCol w:w="1498"/>
      </w:tblGrid>
      <w:tr>
        <w:tblPrEx>
          <w:tblLayout w:type="fixed"/>
          <w:tblCellMar>
            <w:top w:w="0" w:type="dxa"/>
            <w:left w:w="0" w:type="dxa"/>
            <w:bottom w:w="0" w:type="dxa"/>
            <w:right w:w="0" w:type="dxa"/>
          </w:tblCellMar>
        </w:tblPrEx>
        <w:trPr>
          <w:cantSplit/>
          <w:trHeight w:val="292" w:hRule="atLeast"/>
        </w:trPr>
        <w:tc>
          <w:tcPr>
            <w:tcW w:w="922" w:type="dxa"/>
            <w:vMerge w:val="restart"/>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河  名</w:t>
            </w:r>
          </w:p>
        </w:tc>
        <w:tc>
          <w:tcPr>
            <w:tcW w:w="923"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站名</w:t>
            </w:r>
          </w:p>
        </w:tc>
        <w:tc>
          <w:tcPr>
            <w:tcW w:w="980" w:type="dxa"/>
            <w:vMerge w:val="restart"/>
            <w:tcBorders>
              <w:top w:val="single" w:color="auto" w:sz="12"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集水</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面积</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（km</w:t>
            </w:r>
            <w:r>
              <w:rPr>
                <w:rFonts w:hint="default" w:ascii="Times New Roman" w:hAnsi="Times New Roman" w:eastAsia="仿宋" w:cs="Times New Roman"/>
                <w:sz w:val="24"/>
                <w:vertAlign w:val="superscript"/>
              </w:rPr>
              <w:t>2</w:t>
            </w:r>
            <w:r>
              <w:rPr>
                <w:rFonts w:hint="default" w:ascii="Times New Roman" w:hAnsi="Times New Roman" w:eastAsia="仿宋" w:cs="Times New Roman"/>
                <w:sz w:val="24"/>
              </w:rPr>
              <w:t>）</w:t>
            </w:r>
          </w:p>
        </w:tc>
        <w:tc>
          <w:tcPr>
            <w:tcW w:w="2448" w:type="dxa"/>
            <w:gridSpan w:val="2"/>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实测</w:t>
            </w:r>
          </w:p>
        </w:tc>
        <w:tc>
          <w:tcPr>
            <w:tcW w:w="2456" w:type="dxa"/>
            <w:gridSpan w:val="2"/>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天然</w:t>
            </w:r>
          </w:p>
        </w:tc>
        <w:tc>
          <w:tcPr>
            <w:tcW w:w="1498" w:type="dxa"/>
            <w:vMerge w:val="restart"/>
            <w:tcBorders>
              <w:top w:val="single" w:color="auto" w:sz="12" w:space="0"/>
              <w:left w:val="single" w:color="auto" w:sz="4" w:space="0"/>
              <w:bottom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连续最大</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4个月天</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然径流量</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起止月份</w:t>
            </w:r>
          </w:p>
        </w:tc>
      </w:tr>
      <w:tr>
        <w:tblPrEx>
          <w:tblLayout w:type="fixed"/>
          <w:tblCellMar>
            <w:top w:w="0" w:type="dxa"/>
            <w:left w:w="0" w:type="dxa"/>
            <w:bottom w:w="0" w:type="dxa"/>
            <w:right w:w="0" w:type="dxa"/>
          </w:tblCellMar>
        </w:tblPrEx>
        <w:trPr>
          <w:cantSplit/>
          <w:trHeight w:val="399" w:hRule="atLeast"/>
        </w:trPr>
        <w:tc>
          <w:tcPr>
            <w:tcW w:w="922" w:type="dxa"/>
            <w:vMerge w:val="continue"/>
            <w:tcBorders>
              <w:top w:val="single" w:color="auto" w:sz="4" w:space="0"/>
              <w:bottom w:val="single" w:color="auto" w:sz="12" w:space="0"/>
              <w:right w:val="single" w:color="auto" w:sz="4" w:space="0"/>
            </w:tcBorders>
            <w:vAlign w:val="center"/>
          </w:tcPr>
          <w:p>
            <w:pPr>
              <w:jc w:val="center"/>
              <w:rPr>
                <w:rFonts w:hint="default" w:ascii="Times New Roman" w:hAnsi="Times New Roman" w:eastAsia="仿宋" w:cs="Times New Roman"/>
                <w:sz w:val="24"/>
              </w:rPr>
            </w:pPr>
          </w:p>
        </w:tc>
        <w:tc>
          <w:tcPr>
            <w:tcW w:w="923"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仿宋" w:cs="Times New Roman"/>
                <w:sz w:val="24"/>
              </w:rPr>
            </w:pPr>
          </w:p>
        </w:tc>
        <w:tc>
          <w:tcPr>
            <w:tcW w:w="980" w:type="dxa"/>
            <w:vMerge w:val="continue"/>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仿宋" w:cs="Times New Roman"/>
                <w:sz w:val="24"/>
              </w:rPr>
            </w:pPr>
          </w:p>
        </w:tc>
        <w:tc>
          <w:tcPr>
            <w:tcW w:w="1129"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年径</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流量</w:t>
            </w:r>
          </w:p>
        </w:tc>
        <w:tc>
          <w:tcPr>
            <w:tcW w:w="1319"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连续最大</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4个月</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径流量</w:t>
            </w:r>
          </w:p>
        </w:tc>
        <w:tc>
          <w:tcPr>
            <w:tcW w:w="1129"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年径</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流量</w:t>
            </w:r>
          </w:p>
        </w:tc>
        <w:tc>
          <w:tcPr>
            <w:tcW w:w="1327"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连续最大</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4个月</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径流量</w:t>
            </w:r>
          </w:p>
        </w:tc>
        <w:tc>
          <w:tcPr>
            <w:tcW w:w="1498" w:type="dxa"/>
            <w:vMerge w:val="continue"/>
            <w:tcBorders>
              <w:top w:val="nil"/>
              <w:left w:val="single" w:color="auto" w:sz="4" w:space="0"/>
              <w:bottom w:val="single" w:color="auto" w:sz="12" w:space="0"/>
            </w:tcBorders>
            <w:vAlign w:val="center"/>
          </w:tcPr>
          <w:p>
            <w:pPr>
              <w:jc w:val="center"/>
              <w:rPr>
                <w:rFonts w:hint="default" w:ascii="Times New Roman" w:hAnsi="Times New Roman" w:eastAsia="仿宋" w:cs="Times New Roman"/>
                <w:sz w:val="24"/>
              </w:rPr>
            </w:pPr>
          </w:p>
        </w:tc>
      </w:tr>
      <w:tr>
        <w:tblPrEx>
          <w:tblLayout w:type="fixed"/>
          <w:tblCellMar>
            <w:top w:w="0" w:type="dxa"/>
            <w:left w:w="0" w:type="dxa"/>
            <w:bottom w:w="0" w:type="dxa"/>
            <w:right w:w="0" w:type="dxa"/>
          </w:tblCellMar>
        </w:tblPrEx>
        <w:trPr>
          <w:trHeight w:val="342" w:hRule="atLeast"/>
        </w:trPr>
        <w:tc>
          <w:tcPr>
            <w:tcW w:w="922" w:type="dxa"/>
            <w:tcBorders>
              <w:top w:val="single" w:color="auto" w:sz="12" w:space="0"/>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颍  河</w:t>
            </w:r>
          </w:p>
        </w:tc>
        <w:tc>
          <w:tcPr>
            <w:tcW w:w="923"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告成</w:t>
            </w:r>
          </w:p>
        </w:tc>
        <w:tc>
          <w:tcPr>
            <w:tcW w:w="980"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627</w:t>
            </w:r>
          </w:p>
        </w:tc>
        <w:tc>
          <w:tcPr>
            <w:tcW w:w="1129"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2940</w:t>
            </w:r>
          </w:p>
        </w:tc>
        <w:tc>
          <w:tcPr>
            <w:tcW w:w="1319"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1151</w:t>
            </w:r>
          </w:p>
        </w:tc>
        <w:tc>
          <w:tcPr>
            <w:tcW w:w="1129"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3064</w:t>
            </w:r>
          </w:p>
        </w:tc>
        <w:tc>
          <w:tcPr>
            <w:tcW w:w="1327"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1382</w:t>
            </w:r>
          </w:p>
        </w:tc>
        <w:tc>
          <w:tcPr>
            <w:tcW w:w="1498" w:type="dxa"/>
            <w:tcBorders>
              <w:top w:val="single" w:color="auto" w:sz="12" w:space="0"/>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5～8</w:t>
            </w:r>
          </w:p>
        </w:tc>
      </w:tr>
      <w:tr>
        <w:tblPrEx>
          <w:tblLayout w:type="fixed"/>
          <w:tblCellMar>
            <w:top w:w="0" w:type="dxa"/>
            <w:left w:w="0" w:type="dxa"/>
            <w:bottom w:w="0" w:type="dxa"/>
            <w:right w:w="0" w:type="dxa"/>
          </w:tblCellMar>
        </w:tblPrEx>
        <w:trPr>
          <w:trHeight w:val="348" w:hRule="atLeast"/>
        </w:trPr>
        <w:tc>
          <w:tcPr>
            <w:tcW w:w="922" w:type="dxa"/>
            <w:tcBorders>
              <w:top w:val="nil"/>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双洎河</w:t>
            </w:r>
          </w:p>
        </w:tc>
        <w:tc>
          <w:tcPr>
            <w:tcW w:w="923"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新郑</w:t>
            </w:r>
          </w:p>
        </w:tc>
        <w:tc>
          <w:tcPr>
            <w:tcW w:w="98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1079</w:t>
            </w:r>
          </w:p>
        </w:tc>
        <w:tc>
          <w:tcPr>
            <w:tcW w:w="1129"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11358</w:t>
            </w:r>
          </w:p>
        </w:tc>
        <w:tc>
          <w:tcPr>
            <w:tcW w:w="1319"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5369</w:t>
            </w:r>
          </w:p>
        </w:tc>
        <w:tc>
          <w:tcPr>
            <w:tcW w:w="1129"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5767</w:t>
            </w:r>
          </w:p>
        </w:tc>
        <w:tc>
          <w:tcPr>
            <w:tcW w:w="132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2773</w:t>
            </w:r>
          </w:p>
        </w:tc>
        <w:tc>
          <w:tcPr>
            <w:tcW w:w="1498"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7～10</w:t>
            </w:r>
          </w:p>
        </w:tc>
      </w:tr>
      <w:tr>
        <w:tblPrEx>
          <w:tblLayout w:type="fixed"/>
          <w:tblCellMar>
            <w:top w:w="0" w:type="dxa"/>
            <w:left w:w="0" w:type="dxa"/>
            <w:bottom w:w="0" w:type="dxa"/>
            <w:right w:w="0" w:type="dxa"/>
          </w:tblCellMar>
        </w:tblPrEx>
        <w:trPr>
          <w:trHeight w:val="313" w:hRule="atLeast"/>
        </w:trPr>
        <w:tc>
          <w:tcPr>
            <w:tcW w:w="922" w:type="dxa"/>
            <w:tcBorders>
              <w:top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贾鲁河</w:t>
            </w:r>
          </w:p>
        </w:tc>
        <w:tc>
          <w:tcPr>
            <w:tcW w:w="923" w:type="dxa"/>
            <w:tcBorders>
              <w:top w:val="nil"/>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中牟</w:t>
            </w:r>
          </w:p>
        </w:tc>
        <w:tc>
          <w:tcPr>
            <w:tcW w:w="980" w:type="dxa"/>
            <w:tcBorders>
              <w:top w:val="nil"/>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2106</w:t>
            </w:r>
          </w:p>
        </w:tc>
        <w:tc>
          <w:tcPr>
            <w:tcW w:w="1129" w:type="dxa"/>
            <w:tcBorders>
              <w:top w:val="nil"/>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52083</w:t>
            </w:r>
          </w:p>
        </w:tc>
        <w:tc>
          <w:tcPr>
            <w:tcW w:w="1319" w:type="dxa"/>
            <w:tcBorders>
              <w:top w:val="nil"/>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23197</w:t>
            </w:r>
          </w:p>
        </w:tc>
        <w:tc>
          <w:tcPr>
            <w:tcW w:w="1129" w:type="dxa"/>
            <w:tcBorders>
              <w:top w:val="nil"/>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9553</w:t>
            </w:r>
          </w:p>
        </w:tc>
        <w:tc>
          <w:tcPr>
            <w:tcW w:w="1327" w:type="dxa"/>
            <w:tcBorders>
              <w:top w:val="nil"/>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6333</w:t>
            </w:r>
          </w:p>
        </w:tc>
        <w:tc>
          <w:tcPr>
            <w:tcW w:w="1498" w:type="dxa"/>
            <w:tcBorders>
              <w:top w:val="nil"/>
              <w:left w:val="nil"/>
              <w:bottom w:val="single" w:color="auto" w:sz="12"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4"/>
              </w:rPr>
            </w:pPr>
            <w:r>
              <w:rPr>
                <w:rFonts w:hint="default" w:ascii="Times New Roman" w:hAnsi="Times New Roman" w:eastAsia="仿宋" w:cs="Times New Roman"/>
                <w:i w:val="0"/>
                <w:color w:val="000000"/>
                <w:kern w:val="0"/>
                <w:sz w:val="24"/>
                <w:szCs w:val="24"/>
                <w:u w:val="none"/>
                <w:lang w:val="en-US" w:eastAsia="zh-CN" w:bidi="ar"/>
              </w:rPr>
              <w:t>6～9</w:t>
            </w:r>
          </w:p>
        </w:tc>
      </w:tr>
    </w:tbl>
    <w:p>
      <w:pPr>
        <w:rPr>
          <w:rFonts w:hint="default" w:ascii="Times New Roman" w:hAnsi="Times New Roman" w:eastAsia="仿宋" w:cs="Times New Roman"/>
          <w:b/>
          <w:bCs/>
          <w:sz w:val="24"/>
        </w:rPr>
      </w:pPr>
    </w:p>
    <w:p>
      <w:pPr>
        <w:pStyle w:val="4"/>
        <w:spacing w:before="0" w:after="0" w:line="360" w:lineRule="auto"/>
        <w:jc w:val="left"/>
        <w:rPr>
          <w:rFonts w:hint="default" w:ascii="Times New Roman" w:hAnsi="Times New Roman" w:cs="Times New Roman"/>
          <w:b w:val="0"/>
        </w:rPr>
      </w:pPr>
      <w:bookmarkStart w:id="9" w:name="_Toc23052"/>
      <w:r>
        <w:rPr>
          <w:rFonts w:hint="default" w:ascii="Times New Roman" w:hAnsi="Times New Roman" w:cs="Times New Roman"/>
          <w:b w:val="0"/>
        </w:rPr>
        <w:t>2.3 地下水资源</w:t>
      </w:r>
      <w:bookmarkEnd w:id="9"/>
    </w:p>
    <w:p>
      <w:pPr>
        <w:pStyle w:val="5"/>
        <w:snapToGrid w:val="0"/>
        <w:spacing w:before="0" w:after="0" w:line="360" w:lineRule="auto"/>
        <w:ind w:firstLine="0" w:firstLineChars="0"/>
        <w:jc w:val="left"/>
        <w:rPr>
          <w:rFonts w:hint="default" w:ascii="Times New Roman" w:hAnsi="Times New Roman" w:eastAsia="仿宋" w:cs="Times New Roman"/>
        </w:rPr>
      </w:pPr>
      <w:bookmarkStart w:id="10" w:name="_Toc4754"/>
      <w:r>
        <w:rPr>
          <w:rFonts w:hint="default" w:ascii="Times New Roman" w:hAnsi="Times New Roman" w:eastAsia="仿宋" w:cs="Times New Roman"/>
        </w:rPr>
        <w:t>2.3.1 地下水资源量与补给量</w:t>
      </w:r>
      <w:bookmarkEnd w:id="10"/>
    </w:p>
    <w:p>
      <w:pPr>
        <w:spacing w:line="360" w:lineRule="auto"/>
        <w:ind w:firstLine="576" w:firstLineChars="192"/>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年郑州市地下水资源量</w:t>
      </w:r>
      <w:r>
        <w:rPr>
          <w:rFonts w:hint="eastAsia" w:eastAsia="仿宋" w:cs="Times New Roman"/>
          <w:sz w:val="30"/>
          <w:szCs w:val="30"/>
          <w:lang w:val="en-US" w:eastAsia="zh-CN"/>
        </w:rPr>
        <w:t>5.4516</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，其中山丘区地下水资源量</w:t>
      </w:r>
      <w:r>
        <w:rPr>
          <w:rFonts w:hint="eastAsia" w:eastAsia="仿宋" w:cs="Times New Roman"/>
          <w:sz w:val="30"/>
          <w:szCs w:val="30"/>
          <w:lang w:val="en-US" w:eastAsia="zh-CN"/>
        </w:rPr>
        <w:t>3.5288</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，平原区地下水资源量</w:t>
      </w:r>
      <w:r>
        <w:rPr>
          <w:rFonts w:hint="default" w:ascii="Times New Roman" w:hAnsi="Times New Roman" w:eastAsia="仿宋" w:cs="Times New Roman"/>
          <w:sz w:val="30"/>
          <w:szCs w:val="30"/>
          <w:lang w:val="en-US" w:eastAsia="zh-CN"/>
        </w:rPr>
        <w:t>2.</w:t>
      </w:r>
      <w:r>
        <w:rPr>
          <w:rFonts w:hint="eastAsia" w:eastAsia="仿宋" w:cs="Times New Roman"/>
          <w:sz w:val="30"/>
          <w:szCs w:val="30"/>
          <w:lang w:val="en-US" w:eastAsia="zh-CN"/>
        </w:rPr>
        <w:t>3220</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，平原区与山丘区地下水重复计算量0.</w:t>
      </w:r>
      <w:r>
        <w:rPr>
          <w:rFonts w:hint="default" w:ascii="Times New Roman" w:hAnsi="Times New Roman" w:eastAsia="仿宋" w:cs="Times New Roman"/>
          <w:sz w:val="30"/>
          <w:szCs w:val="30"/>
          <w:lang w:val="en-US" w:eastAsia="zh-CN"/>
        </w:rPr>
        <w:t>3</w:t>
      </w:r>
      <w:r>
        <w:rPr>
          <w:rFonts w:hint="eastAsia" w:eastAsia="仿宋" w:cs="Times New Roman"/>
          <w:sz w:val="30"/>
          <w:szCs w:val="30"/>
          <w:lang w:val="en-US" w:eastAsia="zh-CN"/>
        </w:rPr>
        <w:t>932</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p>
    <w:p>
      <w:pPr>
        <w:spacing w:line="360" w:lineRule="auto"/>
        <w:ind w:firstLine="576" w:firstLineChars="192"/>
        <w:jc w:val="left"/>
        <w:rPr>
          <w:rFonts w:hint="default" w:ascii="Times New Roman" w:hAnsi="Times New Roman" w:eastAsia="仿宋_GB2312" w:cs="Times New Roman"/>
          <w:sz w:val="30"/>
          <w:szCs w:val="30"/>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eastAsia="仿宋" w:cs="Times New Roman"/>
          <w:sz w:val="30"/>
          <w:szCs w:val="30"/>
        </w:rPr>
        <w:t>平原区地下水资源量中，降水入渗补给量</w:t>
      </w:r>
      <w:r>
        <w:rPr>
          <w:rFonts w:hint="eastAsia" w:eastAsia="仿宋" w:cs="Times New Roman"/>
          <w:sz w:val="30"/>
          <w:szCs w:val="30"/>
          <w:lang w:val="en-US" w:eastAsia="zh-CN"/>
        </w:rPr>
        <w:t>1.5356</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，地表水体入渗补给量</w:t>
      </w:r>
      <w:r>
        <w:rPr>
          <w:rFonts w:hint="eastAsia" w:eastAsia="仿宋" w:cs="Times New Roman"/>
          <w:sz w:val="30"/>
          <w:szCs w:val="30"/>
          <w:lang w:val="en-US" w:eastAsia="zh-CN"/>
        </w:rPr>
        <w:t>0.6554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，山前侧渗量0.1310亿m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，井灌回归量</w:t>
      </w:r>
      <w:r>
        <w:rPr>
          <w:rFonts w:hint="eastAsia" w:eastAsia="仿宋" w:cs="Times New Roman"/>
          <w:sz w:val="30"/>
          <w:szCs w:val="30"/>
          <w:lang w:val="en-US" w:eastAsia="zh-CN"/>
        </w:rPr>
        <w:t>0.0079</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，总补给量为</w:t>
      </w:r>
      <w:r>
        <w:rPr>
          <w:rFonts w:hint="default" w:ascii="Times New Roman" w:hAnsi="Times New Roman" w:eastAsia="仿宋" w:cs="Times New Roman"/>
          <w:sz w:val="30"/>
          <w:szCs w:val="30"/>
          <w:lang w:val="en-US" w:eastAsia="zh-CN"/>
        </w:rPr>
        <w:t>2.</w:t>
      </w:r>
      <w:r>
        <w:rPr>
          <w:rFonts w:hint="eastAsia" w:eastAsia="仿宋" w:cs="Times New Roman"/>
          <w:sz w:val="30"/>
          <w:szCs w:val="30"/>
          <w:lang w:val="en-US" w:eastAsia="zh-CN"/>
        </w:rPr>
        <w:t>4197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；扣除井灌回归量后，平原区地下水资源量为</w:t>
      </w:r>
      <w:r>
        <w:rPr>
          <w:rFonts w:hint="default" w:ascii="Times New Roman" w:hAnsi="Times New Roman" w:eastAsia="仿宋" w:cs="Times New Roman"/>
          <w:sz w:val="30"/>
          <w:szCs w:val="30"/>
          <w:lang w:val="en-US" w:eastAsia="zh-CN"/>
        </w:rPr>
        <w:t>2.</w:t>
      </w:r>
      <w:r>
        <w:rPr>
          <w:rFonts w:hint="eastAsia" w:eastAsia="仿宋" w:cs="Times New Roman"/>
          <w:sz w:val="30"/>
          <w:szCs w:val="30"/>
          <w:lang w:val="en-US" w:eastAsia="zh-CN"/>
        </w:rPr>
        <w:t>3220</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，详见表4。</w:t>
      </w:r>
    </w:p>
    <w:p>
      <w:pPr>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表4</w:t>
      </w:r>
      <w:r>
        <w:rPr>
          <w:rFonts w:hint="eastAsia" w:ascii="Times New Roman" w:hAnsi="Times New Roman" w:eastAsia="黑体" w:cs="Times New Roman"/>
          <w:bCs/>
          <w:sz w:val="28"/>
          <w:szCs w:val="28"/>
          <w:lang w:val="en-US" w:eastAsia="zh-CN"/>
        </w:rPr>
        <w:t xml:space="preserve">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年郑州市行政分区地下水资源量</w:t>
      </w:r>
    </w:p>
    <w:p>
      <w:pPr>
        <w:jc w:val="right"/>
        <w:rPr>
          <w:rFonts w:hint="default" w:ascii="Times New Roman" w:hAnsi="Times New Roman" w:eastAsia="黑体" w:cs="Times New Roman"/>
          <w:bCs/>
          <w:sz w:val="28"/>
          <w:szCs w:val="28"/>
        </w:rPr>
      </w:pPr>
      <w:r>
        <w:rPr>
          <w:rFonts w:hint="eastAsia" w:eastAsia="黑体" w:cs="Times New Roman"/>
          <w:sz w:val="24"/>
          <w:szCs w:val="20"/>
          <w:lang w:val="en-US" w:eastAsia="zh-CN"/>
        </w:rPr>
        <w:t>水量</w:t>
      </w:r>
      <w:r>
        <w:rPr>
          <w:rFonts w:hint="default" w:ascii="Times New Roman" w:hAnsi="Times New Roman" w:eastAsia="黑体" w:cs="Times New Roman"/>
          <w:sz w:val="24"/>
          <w:szCs w:val="20"/>
        </w:rPr>
        <w:t>单位：亿米</w:t>
      </w:r>
      <w:r>
        <w:rPr>
          <w:rFonts w:hint="default" w:ascii="Times New Roman" w:hAnsi="Times New Roman" w:eastAsia="黑体" w:cs="Times New Roman"/>
          <w:sz w:val="24"/>
          <w:szCs w:val="20"/>
          <w:vertAlign w:val="superscript"/>
        </w:rPr>
        <w:t>3</w:t>
      </w:r>
    </w:p>
    <w:tbl>
      <w:tblPr>
        <w:tblStyle w:val="23"/>
        <w:tblW w:w="14532" w:type="dxa"/>
        <w:tblInd w:w="-1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1131"/>
        <w:gridCol w:w="834"/>
        <w:gridCol w:w="891"/>
        <w:gridCol w:w="918"/>
        <w:gridCol w:w="919"/>
        <w:gridCol w:w="919"/>
        <w:gridCol w:w="919"/>
        <w:gridCol w:w="893"/>
        <w:gridCol w:w="919"/>
        <w:gridCol w:w="858"/>
        <w:gridCol w:w="888"/>
        <w:gridCol w:w="929"/>
        <w:gridCol w:w="776"/>
        <w:gridCol w:w="878"/>
        <w:gridCol w:w="1033"/>
        <w:gridCol w:w="8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07" w:hRule="atLeast"/>
        </w:trPr>
        <w:tc>
          <w:tcPr>
            <w:tcW w:w="1131" w:type="dxa"/>
            <w:vMerge w:val="restart"/>
            <w:tcBorders>
              <w:top w:val="single" w:color="auto" w:sz="12"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color w:val="000000"/>
                <w:kern w:val="0"/>
                <w:sz w:val="24"/>
              </w:rPr>
              <w:t>区名称</w:t>
            </w:r>
          </w:p>
        </w:tc>
        <w:tc>
          <w:tcPr>
            <w:tcW w:w="834"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 w:cs="Times New Roman"/>
                <w:kern w:val="0"/>
                <w:sz w:val="24"/>
                <w:lang w:eastAsia="zh-CN"/>
              </w:rPr>
            </w:pPr>
            <w:r>
              <w:rPr>
                <w:rFonts w:hint="default" w:ascii="Times New Roman" w:hAnsi="Times New Roman" w:eastAsia="仿宋" w:cs="Times New Roman"/>
                <w:kern w:val="0"/>
                <w:sz w:val="24"/>
              </w:rPr>
              <w:t>总面积</w:t>
            </w:r>
            <w:r>
              <w:rPr>
                <w:rFonts w:hint="eastAsia" w:eastAsia="仿宋" w:cs="Times New Roman"/>
                <w:kern w:val="0"/>
                <w:sz w:val="24"/>
                <w:lang w:val="en-US" w:eastAsia="zh-CN"/>
              </w:rPr>
              <w:t>(</w:t>
            </w:r>
            <w:r>
              <w:rPr>
                <w:rFonts w:hint="default" w:ascii="Times New Roman" w:hAnsi="Times New Roman" w:eastAsia="仿宋" w:cs="Times New Roman"/>
                <w:kern w:val="0"/>
                <w:sz w:val="24"/>
              </w:rPr>
              <w:t>Km</w:t>
            </w:r>
            <w:r>
              <w:rPr>
                <w:rFonts w:hint="default" w:ascii="Times New Roman" w:hAnsi="Times New Roman" w:eastAsia="仿宋" w:cs="Times New Roman"/>
                <w:kern w:val="0"/>
                <w:sz w:val="24"/>
                <w:vertAlign w:val="superscript"/>
              </w:rPr>
              <w:t>2</w:t>
            </w:r>
            <w:r>
              <w:rPr>
                <w:rFonts w:hint="eastAsia" w:eastAsia="仿宋" w:cs="Times New Roman"/>
                <w:kern w:val="0"/>
                <w:sz w:val="24"/>
                <w:lang w:val="en-US" w:eastAsia="zh-CN"/>
              </w:rPr>
              <w:t>)</w:t>
            </w:r>
          </w:p>
        </w:tc>
        <w:tc>
          <w:tcPr>
            <w:tcW w:w="4566" w:type="dxa"/>
            <w:gridSpan w:val="5"/>
            <w:tcBorders>
              <w:top w:val="single" w:color="auto" w:sz="12"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山丘区</w:t>
            </w:r>
          </w:p>
        </w:tc>
        <w:tc>
          <w:tcPr>
            <w:tcW w:w="6141" w:type="dxa"/>
            <w:gridSpan w:val="7"/>
            <w:tcBorders>
              <w:top w:val="single" w:color="auto" w:sz="12" w:space="0"/>
              <w:left w:val="single" w:color="auto" w:sz="4" w:space="0"/>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平原区</w:t>
            </w:r>
          </w:p>
        </w:tc>
        <w:tc>
          <w:tcPr>
            <w:tcW w:w="1033" w:type="dxa"/>
            <w:vMerge w:val="restart"/>
            <w:tcBorders>
              <w:top w:val="single" w:color="auto" w:sz="12" w:space="0"/>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平原区与山丘区地下水重复量</w:t>
            </w:r>
          </w:p>
        </w:tc>
        <w:tc>
          <w:tcPr>
            <w:tcW w:w="827" w:type="dxa"/>
            <w:vMerge w:val="restart"/>
            <w:tcBorders>
              <w:top w:val="single" w:color="auto" w:sz="12" w:space="0"/>
              <w:left w:val="single" w:color="auto" w:sz="4" w:space="0"/>
              <w:bottom w:val="single" w:color="000000"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eastAsia" w:eastAsia="仿宋" w:cs="Times New Roman"/>
                <w:kern w:val="0"/>
                <w:sz w:val="24"/>
                <w:lang w:val="en-US" w:eastAsia="zh-CN"/>
              </w:rPr>
              <w:t>分区</w:t>
            </w:r>
            <w:r>
              <w:rPr>
                <w:rFonts w:hint="default" w:ascii="Times New Roman" w:hAnsi="Times New Roman" w:eastAsia="仿宋" w:cs="Times New Roman"/>
                <w:kern w:val="0"/>
                <w:sz w:val="24"/>
              </w:rPr>
              <w:t>地下水资源量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858" w:hRule="atLeast"/>
        </w:trPr>
        <w:tc>
          <w:tcPr>
            <w:tcW w:w="1131" w:type="dxa"/>
            <w:vMerge w:val="continue"/>
            <w:tcBorders>
              <w:top w:val="single" w:color="auto" w:sz="4" w:space="0"/>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p>
        </w:tc>
        <w:tc>
          <w:tcPr>
            <w:tcW w:w="834"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p>
        </w:tc>
        <w:tc>
          <w:tcPr>
            <w:tcW w:w="891" w:type="dxa"/>
            <w:tcBorders>
              <w:top w:val="nil"/>
              <w:left w:val="nil"/>
              <w:bottom w:val="single" w:color="auto" w:sz="12" w:space="0"/>
              <w:right w:val="single" w:color="auto" w:sz="4" w:space="0"/>
            </w:tcBorders>
            <w:shd w:val="clear" w:color="auto" w:fill="auto"/>
            <w:vAlign w:val="center"/>
          </w:tcPr>
          <w:p>
            <w:pPr>
              <w:widowControl/>
              <w:jc w:val="center"/>
              <w:rPr>
                <w:rFonts w:hint="eastAsia" w:ascii="Times New Roman" w:hAnsi="Times New Roman" w:eastAsia="仿宋" w:cs="Times New Roman"/>
                <w:kern w:val="0"/>
                <w:sz w:val="24"/>
                <w:lang w:eastAsia="zh-CN"/>
              </w:rPr>
            </w:pPr>
            <w:r>
              <w:rPr>
                <w:rFonts w:hint="default" w:ascii="Times New Roman" w:hAnsi="Times New Roman" w:eastAsia="仿宋" w:cs="Times New Roman"/>
                <w:kern w:val="0"/>
                <w:sz w:val="24"/>
              </w:rPr>
              <w:t>计算面积</w:t>
            </w:r>
            <w:r>
              <w:rPr>
                <w:rFonts w:hint="eastAsia" w:eastAsia="仿宋" w:cs="Times New Roman"/>
                <w:kern w:val="0"/>
                <w:sz w:val="24"/>
                <w:lang w:val="en-US" w:eastAsia="zh-CN"/>
              </w:rPr>
              <w:t>(</w:t>
            </w:r>
            <w:r>
              <w:rPr>
                <w:rFonts w:hint="default" w:ascii="Times New Roman" w:hAnsi="Times New Roman" w:eastAsia="仿宋" w:cs="Times New Roman"/>
                <w:kern w:val="0"/>
                <w:sz w:val="24"/>
              </w:rPr>
              <w:t>Km</w:t>
            </w:r>
            <w:r>
              <w:rPr>
                <w:rFonts w:hint="default" w:ascii="Times New Roman" w:hAnsi="Times New Roman" w:eastAsia="仿宋" w:cs="Times New Roman"/>
                <w:kern w:val="0"/>
                <w:sz w:val="24"/>
                <w:vertAlign w:val="superscript"/>
              </w:rPr>
              <w:t>2</w:t>
            </w:r>
            <w:r>
              <w:rPr>
                <w:rFonts w:hint="eastAsia" w:eastAsia="仿宋" w:cs="Times New Roman"/>
                <w:kern w:val="0"/>
                <w:sz w:val="24"/>
                <w:lang w:val="en-US" w:eastAsia="zh-CN"/>
              </w:rPr>
              <w:t>)</w:t>
            </w:r>
          </w:p>
        </w:tc>
        <w:tc>
          <w:tcPr>
            <w:tcW w:w="91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河川基流量</w:t>
            </w:r>
          </w:p>
        </w:tc>
        <w:tc>
          <w:tcPr>
            <w:tcW w:w="91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山前侧渗量</w:t>
            </w:r>
          </w:p>
        </w:tc>
        <w:tc>
          <w:tcPr>
            <w:tcW w:w="91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开采净耗量</w:t>
            </w:r>
          </w:p>
        </w:tc>
        <w:tc>
          <w:tcPr>
            <w:tcW w:w="91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地下水资源量</w:t>
            </w:r>
          </w:p>
        </w:tc>
        <w:tc>
          <w:tcPr>
            <w:tcW w:w="893"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hint="eastAsia" w:ascii="Times New Roman" w:hAnsi="Times New Roman" w:eastAsia="仿宋" w:cs="Times New Roman"/>
                <w:kern w:val="0"/>
                <w:sz w:val="24"/>
                <w:lang w:eastAsia="zh-CN"/>
              </w:rPr>
            </w:pPr>
            <w:r>
              <w:rPr>
                <w:rFonts w:hint="default" w:ascii="Times New Roman" w:hAnsi="Times New Roman" w:eastAsia="仿宋" w:cs="Times New Roman"/>
                <w:kern w:val="0"/>
                <w:sz w:val="24"/>
              </w:rPr>
              <w:t>计算面积</w:t>
            </w:r>
            <w:r>
              <w:rPr>
                <w:rFonts w:hint="eastAsia" w:eastAsia="仿宋" w:cs="Times New Roman"/>
                <w:kern w:val="0"/>
                <w:sz w:val="24"/>
                <w:lang w:val="en-US" w:eastAsia="zh-CN"/>
              </w:rPr>
              <w:t>(</w:t>
            </w:r>
            <w:r>
              <w:rPr>
                <w:rFonts w:hint="default" w:ascii="Times New Roman" w:hAnsi="Times New Roman" w:eastAsia="仿宋" w:cs="Times New Roman"/>
                <w:kern w:val="0"/>
                <w:sz w:val="24"/>
              </w:rPr>
              <w:t>Km</w:t>
            </w:r>
            <w:r>
              <w:rPr>
                <w:rFonts w:hint="default" w:ascii="Times New Roman" w:hAnsi="Times New Roman" w:eastAsia="仿宋" w:cs="Times New Roman"/>
                <w:kern w:val="0"/>
                <w:sz w:val="24"/>
                <w:vertAlign w:val="superscript"/>
              </w:rPr>
              <w:t>2</w:t>
            </w:r>
            <w:r>
              <w:rPr>
                <w:rFonts w:hint="eastAsia" w:eastAsia="仿宋" w:cs="Times New Roman"/>
                <w:kern w:val="0"/>
                <w:sz w:val="24"/>
                <w:lang w:val="en-US" w:eastAsia="zh-CN"/>
              </w:rPr>
              <w:t>)</w:t>
            </w:r>
          </w:p>
        </w:tc>
        <w:tc>
          <w:tcPr>
            <w:tcW w:w="91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降水补给量</w:t>
            </w:r>
          </w:p>
        </w:tc>
        <w:tc>
          <w:tcPr>
            <w:tcW w:w="858"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地表水体补给</w:t>
            </w:r>
          </w:p>
        </w:tc>
        <w:tc>
          <w:tcPr>
            <w:tcW w:w="888"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山前侧渗补给</w:t>
            </w:r>
          </w:p>
        </w:tc>
        <w:tc>
          <w:tcPr>
            <w:tcW w:w="92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井灌回归补给</w:t>
            </w:r>
          </w:p>
        </w:tc>
        <w:tc>
          <w:tcPr>
            <w:tcW w:w="776"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总补给量</w:t>
            </w:r>
          </w:p>
        </w:tc>
        <w:tc>
          <w:tcPr>
            <w:tcW w:w="878"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地下水资源量</w:t>
            </w:r>
          </w:p>
        </w:tc>
        <w:tc>
          <w:tcPr>
            <w:tcW w:w="1033"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p>
        </w:tc>
        <w:tc>
          <w:tcPr>
            <w:tcW w:w="827" w:type="dxa"/>
            <w:vMerge w:val="continue"/>
            <w:tcBorders>
              <w:top w:val="single" w:color="auto" w:sz="4" w:space="0"/>
              <w:left w:val="single" w:color="auto" w:sz="4" w:space="0"/>
              <w:bottom w:val="single" w:color="auto" w:sz="12" w:space="0"/>
            </w:tcBorders>
            <w:shd w:val="clear" w:color="auto" w:fill="auto"/>
            <w:vAlign w:val="center"/>
          </w:tcPr>
          <w:p>
            <w:pPr>
              <w:widowControl/>
              <w:jc w:val="center"/>
              <w:rPr>
                <w:rFonts w:hint="default" w:ascii="Times New Roman" w:hAnsi="Times New Roman" w:eastAsia="仿宋" w:cs="Times New Roman"/>
                <w:kern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新密市</w:t>
            </w:r>
          </w:p>
        </w:tc>
        <w:tc>
          <w:tcPr>
            <w:tcW w:w="834"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978.0</w:t>
            </w:r>
          </w:p>
        </w:tc>
        <w:tc>
          <w:tcPr>
            <w:tcW w:w="891"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978.0</w:t>
            </w:r>
          </w:p>
        </w:tc>
        <w:tc>
          <w:tcPr>
            <w:tcW w:w="918"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0.2461</w:t>
            </w:r>
          </w:p>
        </w:tc>
        <w:tc>
          <w:tcPr>
            <w:tcW w:w="919"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0.3348</w:t>
            </w:r>
          </w:p>
        </w:tc>
        <w:tc>
          <w:tcPr>
            <w:tcW w:w="919"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0.6121</w:t>
            </w:r>
          </w:p>
        </w:tc>
        <w:tc>
          <w:tcPr>
            <w:tcW w:w="893"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58"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88"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29"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776"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78"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33" w:type="dxa"/>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27" w:type="dxa"/>
            <w:tcBorders>
              <w:top w:val="single" w:color="auto" w:sz="12" w:space="0"/>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新郑市</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713.0</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713.0</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0.1793</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0.0620</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0.2436</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0.4462</w:t>
            </w:r>
          </w:p>
        </w:tc>
        <w:tc>
          <w:tcPr>
            <w:tcW w:w="89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5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8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2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77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7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3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荥阳市</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892.2</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892.2</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0.2283</w:t>
            </w:r>
          </w:p>
        </w:tc>
        <w:tc>
          <w:tcPr>
            <w:tcW w:w="91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0.3217</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0.5625</w:t>
            </w:r>
          </w:p>
        </w:tc>
        <w:tc>
          <w:tcPr>
            <w:tcW w:w="89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5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8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2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77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7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3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登封市</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1219.0</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1219.0</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0.3076</w:t>
            </w:r>
          </w:p>
        </w:tc>
        <w:tc>
          <w:tcPr>
            <w:tcW w:w="91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0.4211</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0.7639</w:t>
            </w:r>
          </w:p>
        </w:tc>
        <w:tc>
          <w:tcPr>
            <w:tcW w:w="89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5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8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2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77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7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3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中牟县</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1203.0</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86.0</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0.0214</w:t>
            </w:r>
          </w:p>
        </w:tc>
        <w:tc>
          <w:tcPr>
            <w:tcW w:w="91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0.0290</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0.0532</w:t>
            </w:r>
          </w:p>
        </w:tc>
        <w:tc>
          <w:tcPr>
            <w:tcW w:w="8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1117.0</w:t>
            </w:r>
          </w:p>
        </w:tc>
        <w:tc>
          <w:tcPr>
            <w:tcW w:w="91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0.8941</w:t>
            </w:r>
          </w:p>
        </w:tc>
        <w:tc>
          <w:tcPr>
            <w:tcW w:w="85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0.3701</w:t>
            </w:r>
          </w:p>
        </w:tc>
        <w:tc>
          <w:tcPr>
            <w:tcW w:w="88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0.0884</w:t>
            </w:r>
          </w:p>
        </w:tc>
        <w:tc>
          <w:tcPr>
            <w:tcW w:w="92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0.0583</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1.4109</w:t>
            </w:r>
          </w:p>
        </w:tc>
        <w:tc>
          <w:tcPr>
            <w:tcW w:w="8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1.3526</w:t>
            </w:r>
          </w:p>
        </w:tc>
        <w:tc>
          <w:tcPr>
            <w:tcW w:w="10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0.2365</w:t>
            </w: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郑州市区</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992.6</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452.0</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0.1137</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0.0690</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0.1544</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0.2828</w:t>
            </w:r>
          </w:p>
        </w:tc>
        <w:tc>
          <w:tcPr>
            <w:tcW w:w="8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540.6</w:t>
            </w:r>
          </w:p>
        </w:tc>
        <w:tc>
          <w:tcPr>
            <w:tcW w:w="91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0.4355</w:t>
            </w:r>
          </w:p>
        </w:tc>
        <w:tc>
          <w:tcPr>
            <w:tcW w:w="85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0.1820</w:t>
            </w:r>
          </w:p>
        </w:tc>
        <w:tc>
          <w:tcPr>
            <w:tcW w:w="88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0.0368</w:t>
            </w:r>
          </w:p>
        </w:tc>
        <w:tc>
          <w:tcPr>
            <w:tcW w:w="92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0.0274</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0.6817</w:t>
            </w:r>
          </w:p>
        </w:tc>
        <w:tc>
          <w:tcPr>
            <w:tcW w:w="8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0.6543</w:t>
            </w:r>
          </w:p>
        </w:tc>
        <w:tc>
          <w:tcPr>
            <w:tcW w:w="10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0.1096</w:t>
            </w: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0.8275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航空港区</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415.0</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330.0</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0.0880</w:t>
            </w:r>
          </w:p>
        </w:tc>
        <w:tc>
          <w:tcPr>
            <w:tcW w:w="91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0.1196</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0.2190</w:t>
            </w:r>
          </w:p>
        </w:tc>
        <w:tc>
          <w:tcPr>
            <w:tcW w:w="8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85.0</w:t>
            </w:r>
          </w:p>
        </w:tc>
        <w:tc>
          <w:tcPr>
            <w:tcW w:w="91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0.0524</w:t>
            </w:r>
          </w:p>
        </w:tc>
        <w:tc>
          <w:tcPr>
            <w:tcW w:w="85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0.0241</w:t>
            </w:r>
          </w:p>
        </w:tc>
        <w:tc>
          <w:tcPr>
            <w:tcW w:w="88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0.0058</w:t>
            </w:r>
          </w:p>
        </w:tc>
        <w:tc>
          <w:tcPr>
            <w:tcW w:w="92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0.0035</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0.0858</w:t>
            </w:r>
          </w:p>
        </w:tc>
        <w:tc>
          <w:tcPr>
            <w:tcW w:w="8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0.0823</w:t>
            </w:r>
          </w:p>
        </w:tc>
        <w:tc>
          <w:tcPr>
            <w:tcW w:w="10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0.0154</w:t>
            </w: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上街区</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57.5</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57.5</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0.0149</w:t>
            </w:r>
          </w:p>
        </w:tc>
        <w:tc>
          <w:tcPr>
            <w:tcW w:w="91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0.0215</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0.0364</w:t>
            </w:r>
          </w:p>
        </w:tc>
        <w:tc>
          <w:tcPr>
            <w:tcW w:w="89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5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8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2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77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7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3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巩义市</w:t>
            </w:r>
          </w:p>
        </w:tc>
        <w:tc>
          <w:tcPr>
            <w:tcW w:w="8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sz w:val="24"/>
                <w:lang w:val="en-US" w:eastAsia="zh-CN"/>
              </w:rPr>
              <w:t>1041</w:t>
            </w:r>
          </w:p>
        </w:tc>
        <w:tc>
          <w:tcPr>
            <w:tcW w:w="89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862.5</w:t>
            </w:r>
          </w:p>
        </w:tc>
        <w:tc>
          <w:tcPr>
            <w:tcW w:w="9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0.2235</w:t>
            </w:r>
          </w:p>
        </w:tc>
        <w:tc>
          <w:tcPr>
            <w:tcW w:w="919"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0.3232</w:t>
            </w:r>
          </w:p>
        </w:tc>
        <w:tc>
          <w:tcPr>
            <w:tcW w:w="9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0.5467</w:t>
            </w:r>
          </w:p>
        </w:tc>
        <w:tc>
          <w:tcPr>
            <w:tcW w:w="8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178.5</w:t>
            </w:r>
          </w:p>
        </w:tc>
        <w:tc>
          <w:tcPr>
            <w:tcW w:w="91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0.1536</w:t>
            </w:r>
          </w:p>
        </w:tc>
        <w:tc>
          <w:tcPr>
            <w:tcW w:w="85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0.0792</w:t>
            </w:r>
          </w:p>
        </w:tc>
        <w:tc>
          <w:tcPr>
            <w:tcW w:w="888"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92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0.0079</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0.2407</w:t>
            </w:r>
          </w:p>
        </w:tc>
        <w:tc>
          <w:tcPr>
            <w:tcW w:w="8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0.2328</w:t>
            </w:r>
          </w:p>
        </w:tc>
        <w:tc>
          <w:tcPr>
            <w:tcW w:w="10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0.0317</w:t>
            </w:r>
          </w:p>
        </w:tc>
        <w:tc>
          <w:tcPr>
            <w:tcW w:w="827"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0.7478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5" w:hRule="atLeast"/>
        </w:trPr>
        <w:tc>
          <w:tcPr>
            <w:tcW w:w="1131" w:type="dxa"/>
            <w:tcBorders>
              <w:top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全市</w:t>
            </w:r>
          </w:p>
        </w:tc>
        <w:tc>
          <w:tcPr>
            <w:tcW w:w="834" w:type="dxa"/>
            <w:tcBorders>
              <w:top w:val="nil"/>
              <w:left w:val="nil"/>
              <w:bottom w:val="single" w:color="auto" w:sz="12"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7511.3</w:t>
            </w:r>
          </w:p>
        </w:tc>
        <w:tc>
          <w:tcPr>
            <w:tcW w:w="891"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5590.2</w:t>
            </w:r>
          </w:p>
        </w:tc>
        <w:tc>
          <w:tcPr>
            <w:tcW w:w="918"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1.4228</w:t>
            </w:r>
          </w:p>
        </w:tc>
        <w:tc>
          <w:tcPr>
            <w:tcW w:w="919"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0.1310</w:t>
            </w:r>
          </w:p>
        </w:tc>
        <w:tc>
          <w:tcPr>
            <w:tcW w:w="919"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1.9689</w:t>
            </w:r>
          </w:p>
        </w:tc>
        <w:tc>
          <w:tcPr>
            <w:tcW w:w="919"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3.5228</w:t>
            </w:r>
          </w:p>
        </w:tc>
        <w:tc>
          <w:tcPr>
            <w:tcW w:w="893"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1921.1</w:t>
            </w:r>
          </w:p>
        </w:tc>
        <w:tc>
          <w:tcPr>
            <w:tcW w:w="919"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1.5356</w:t>
            </w:r>
          </w:p>
        </w:tc>
        <w:tc>
          <w:tcPr>
            <w:tcW w:w="858"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0.6554</w:t>
            </w:r>
          </w:p>
        </w:tc>
        <w:tc>
          <w:tcPr>
            <w:tcW w:w="888"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0.1310</w:t>
            </w:r>
          </w:p>
        </w:tc>
        <w:tc>
          <w:tcPr>
            <w:tcW w:w="929"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0.0971</w:t>
            </w:r>
          </w:p>
        </w:tc>
        <w:tc>
          <w:tcPr>
            <w:tcW w:w="776"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2.4191</w:t>
            </w:r>
          </w:p>
        </w:tc>
        <w:tc>
          <w:tcPr>
            <w:tcW w:w="878"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2.3220</w:t>
            </w:r>
          </w:p>
        </w:tc>
        <w:tc>
          <w:tcPr>
            <w:tcW w:w="1033"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0.3932</w:t>
            </w:r>
          </w:p>
        </w:tc>
        <w:tc>
          <w:tcPr>
            <w:tcW w:w="827" w:type="dxa"/>
            <w:tcBorders>
              <w:top w:val="nil"/>
              <w:left w:val="nil"/>
              <w:bottom w:val="single" w:color="auto"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5.4516</w:t>
            </w:r>
          </w:p>
        </w:tc>
      </w:tr>
    </w:tbl>
    <w:p>
      <w:pPr>
        <w:jc w:val="center"/>
        <w:rPr>
          <w:rFonts w:hint="default" w:ascii="Times New Roman" w:hAnsi="Times New Roman" w:eastAsia="黑体" w:cs="Times New Roman"/>
          <w:bCs/>
          <w:sz w:val="28"/>
          <w:szCs w:val="28"/>
        </w:rPr>
      </w:pPr>
    </w:p>
    <w:p>
      <w:pPr>
        <w:rPr>
          <w:rFonts w:hint="default" w:ascii="Times New Roman" w:hAnsi="Times New Roman" w:cs="Times New Roman"/>
          <w:sz w:val="28"/>
        </w:rPr>
        <w:sectPr>
          <w:pgSz w:w="16838" w:h="11906" w:orient="landscape"/>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pStyle w:val="4"/>
        <w:spacing w:before="0" w:after="0" w:line="360" w:lineRule="auto"/>
        <w:jc w:val="left"/>
        <w:rPr>
          <w:rFonts w:hint="default" w:ascii="Times New Roman" w:hAnsi="Times New Roman" w:cs="Times New Roman"/>
          <w:b w:val="0"/>
        </w:rPr>
      </w:pPr>
      <w:bookmarkStart w:id="11" w:name="_Toc23733"/>
      <w:r>
        <w:rPr>
          <w:rFonts w:hint="default" w:ascii="Times New Roman" w:hAnsi="Times New Roman" w:cs="Times New Roman"/>
          <w:b w:val="0"/>
        </w:rPr>
        <w:t>2.4 水资源总量</w:t>
      </w:r>
      <w:bookmarkEnd w:id="11"/>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年度郑州市水资源总量为</w:t>
      </w:r>
      <w:r>
        <w:rPr>
          <w:rFonts w:hint="eastAsia" w:eastAsia="仿宋" w:cs="Times New Roman"/>
          <w:sz w:val="30"/>
          <w:szCs w:val="30"/>
          <w:lang w:val="en-US" w:eastAsia="zh-CN"/>
        </w:rPr>
        <w:t>7.2782</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，产水系数为0.1</w:t>
      </w:r>
      <w:r>
        <w:rPr>
          <w:rFonts w:hint="default" w:ascii="Times New Roman" w:hAnsi="Times New Roman" w:eastAsia="仿宋" w:cs="Times New Roman"/>
          <w:sz w:val="30"/>
          <w:szCs w:val="30"/>
          <w:lang w:val="en-US" w:eastAsia="zh-CN"/>
        </w:rPr>
        <w:t>7</w:t>
      </w:r>
      <w:r>
        <w:rPr>
          <w:rFonts w:hint="default" w:ascii="Times New Roman" w:hAnsi="Times New Roman" w:eastAsia="仿宋" w:cs="Times New Roman"/>
          <w:sz w:val="30"/>
          <w:szCs w:val="30"/>
        </w:rPr>
        <w:t>，产水模数为</w:t>
      </w:r>
      <w:r>
        <w:rPr>
          <w:rFonts w:hint="default" w:ascii="Times New Roman" w:hAnsi="Times New Roman" w:eastAsia="仿宋" w:cs="Times New Roman"/>
          <w:sz w:val="30"/>
          <w:szCs w:val="30"/>
          <w:lang w:val="en-US" w:eastAsia="zh-CN"/>
        </w:rPr>
        <w:t>9.</w:t>
      </w:r>
      <w:r>
        <w:rPr>
          <w:rFonts w:hint="eastAsia" w:eastAsia="仿宋" w:cs="Times New Roman"/>
          <w:sz w:val="30"/>
          <w:szCs w:val="30"/>
          <w:lang w:val="en-US" w:eastAsia="zh-CN"/>
        </w:rPr>
        <w:t>7</w:t>
      </w:r>
      <w:r>
        <w:rPr>
          <w:rFonts w:hint="default" w:ascii="Times New Roman" w:hAnsi="Times New Roman" w:eastAsia="仿宋" w:cs="Times New Roman"/>
          <w:sz w:val="30"/>
          <w:szCs w:val="30"/>
        </w:rPr>
        <w:t>万m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。其中地表水资源量为</w:t>
      </w:r>
      <w:r>
        <w:rPr>
          <w:rFonts w:hint="default" w:ascii="Times New Roman" w:hAnsi="Times New Roman" w:eastAsia="仿宋" w:cs="Times New Roman"/>
          <w:sz w:val="30"/>
          <w:szCs w:val="30"/>
          <w:lang w:val="en-US" w:eastAsia="zh-CN"/>
        </w:rPr>
        <w:t>3.</w:t>
      </w:r>
      <w:r>
        <w:rPr>
          <w:rFonts w:hint="eastAsia" w:eastAsia="仿宋" w:cs="Times New Roman"/>
          <w:sz w:val="30"/>
          <w:szCs w:val="30"/>
          <w:lang w:val="en-US" w:eastAsia="zh-CN"/>
        </w:rPr>
        <w:t>6424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，地下水资源量为</w:t>
      </w:r>
      <w:r>
        <w:rPr>
          <w:rFonts w:hint="eastAsia" w:eastAsia="仿宋" w:cs="Times New Roman"/>
          <w:sz w:val="30"/>
          <w:szCs w:val="30"/>
          <w:lang w:val="en-US" w:eastAsia="zh-CN"/>
        </w:rPr>
        <w:t>5.4516</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r>
        <w:rPr>
          <w:rFonts w:hint="eastAsia" w:ascii="Times New Roman" w:hAnsi="Times New Roman" w:eastAsia="仿宋" w:cs="Times New Roman"/>
          <w:sz w:val="30"/>
          <w:szCs w:val="30"/>
          <w:lang w:val="en-US" w:eastAsia="zh-CN"/>
        </w:rPr>
        <w:t>地表水与地下水</w:t>
      </w:r>
      <w:r>
        <w:rPr>
          <w:rFonts w:hint="default" w:ascii="Times New Roman" w:hAnsi="Times New Roman" w:eastAsia="仿宋" w:cs="Times New Roman"/>
          <w:sz w:val="30"/>
          <w:szCs w:val="30"/>
        </w:rPr>
        <w:t>重复</w:t>
      </w:r>
      <w:r>
        <w:rPr>
          <w:rFonts w:hint="default" w:ascii="Times New Roman" w:hAnsi="Times New Roman" w:eastAsia="仿宋" w:cs="Times New Roman"/>
          <w:sz w:val="30"/>
          <w:szCs w:val="30"/>
          <w:lang w:val="en-US" w:eastAsia="zh-CN"/>
        </w:rPr>
        <w:t>计算</w:t>
      </w:r>
      <w:r>
        <w:rPr>
          <w:rFonts w:hint="default" w:ascii="Times New Roman" w:hAnsi="Times New Roman" w:eastAsia="仿宋" w:cs="Times New Roman"/>
          <w:sz w:val="30"/>
          <w:szCs w:val="30"/>
        </w:rPr>
        <w:t>量为</w:t>
      </w:r>
      <w:r>
        <w:rPr>
          <w:rFonts w:hint="eastAsia" w:eastAsia="仿宋" w:cs="Times New Roman"/>
          <w:sz w:val="30"/>
          <w:szCs w:val="30"/>
          <w:lang w:val="en-US" w:eastAsia="zh-CN"/>
        </w:rPr>
        <w:t>1.8158</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郑州市水资源总量比上年</w:t>
      </w:r>
      <w:r>
        <w:rPr>
          <w:rFonts w:hint="eastAsia" w:eastAsia="仿宋" w:cs="Times New Roman"/>
          <w:sz w:val="30"/>
          <w:szCs w:val="30"/>
          <w:lang w:val="en-US" w:eastAsia="zh-CN"/>
        </w:rPr>
        <w:t>6.4927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lang w:val="en-US" w:eastAsia="zh-CN"/>
        </w:rPr>
        <w:t>增加</w:t>
      </w:r>
      <w:r>
        <w:rPr>
          <w:rFonts w:hint="eastAsia" w:eastAsia="仿宋" w:cs="Times New Roman"/>
          <w:sz w:val="30"/>
          <w:szCs w:val="30"/>
          <w:lang w:val="en-US" w:eastAsia="zh-CN"/>
        </w:rPr>
        <w:t>0.7855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增加</w:t>
      </w:r>
      <w:r>
        <w:rPr>
          <w:rFonts w:hint="default" w:ascii="Times New Roman" w:hAnsi="Times New Roman" w:eastAsia="仿宋" w:cs="Times New Roman"/>
          <w:sz w:val="30"/>
          <w:szCs w:val="30"/>
        </w:rPr>
        <w:t>幅度为</w:t>
      </w:r>
      <w:r>
        <w:rPr>
          <w:rFonts w:hint="eastAsia" w:eastAsia="仿宋" w:cs="Times New Roman"/>
          <w:sz w:val="30"/>
          <w:szCs w:val="30"/>
          <w:lang w:val="en-US" w:eastAsia="zh-CN"/>
        </w:rPr>
        <w:t>12.1</w:t>
      </w:r>
      <w:r>
        <w:rPr>
          <w:rFonts w:hint="default" w:ascii="Times New Roman" w:hAnsi="Times New Roman" w:eastAsia="仿宋" w:cs="Times New Roman"/>
          <w:sz w:val="30"/>
          <w:szCs w:val="30"/>
        </w:rPr>
        <w:t>%；比</w:t>
      </w:r>
      <w:r>
        <w:rPr>
          <w:rFonts w:hint="eastAsia" w:eastAsia="仿宋" w:cs="Times New Roman"/>
          <w:sz w:val="30"/>
          <w:szCs w:val="30"/>
          <w:lang w:eastAsia="zh-CN"/>
        </w:rPr>
        <w:t>多年均值（</w:t>
      </w:r>
      <w:r>
        <w:rPr>
          <w:rFonts w:hint="eastAsia" w:eastAsia="仿宋" w:cs="Times New Roman"/>
          <w:sz w:val="30"/>
          <w:szCs w:val="30"/>
          <w:lang w:val="en-US" w:eastAsia="zh-CN"/>
        </w:rPr>
        <w:t>1956～2000年系列</w:t>
      </w:r>
      <w:r>
        <w:rPr>
          <w:rFonts w:hint="eastAsia" w:eastAsia="仿宋" w:cs="Times New Roman"/>
          <w:sz w:val="30"/>
          <w:szCs w:val="30"/>
          <w:lang w:eastAsia="zh-CN"/>
        </w:rPr>
        <w:t>）</w:t>
      </w:r>
      <w:r>
        <w:rPr>
          <w:rFonts w:hint="default" w:ascii="Times New Roman" w:hAnsi="Times New Roman" w:eastAsia="仿宋" w:cs="Times New Roman"/>
          <w:sz w:val="30"/>
          <w:szCs w:val="30"/>
        </w:rPr>
        <w:t>水资源总量</w:t>
      </w:r>
      <w:r>
        <w:rPr>
          <w:rFonts w:hint="eastAsia" w:eastAsia="仿宋" w:cs="Times New Roman"/>
          <w:sz w:val="30"/>
          <w:szCs w:val="30"/>
          <w:lang w:val="en-US" w:eastAsia="zh-CN"/>
        </w:rPr>
        <w:t>13.2337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减少5.</w:t>
      </w:r>
      <w:r>
        <w:rPr>
          <w:rFonts w:hint="eastAsia" w:eastAsia="仿宋" w:cs="Times New Roman"/>
          <w:sz w:val="30"/>
          <w:szCs w:val="30"/>
          <w:lang w:val="en-US" w:eastAsia="zh-CN"/>
        </w:rPr>
        <w:t>9555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年郑州市各行政分区水资源总量见表5。</w:t>
      </w:r>
    </w:p>
    <w:p>
      <w:pPr>
        <w:spacing w:line="240" w:lineRule="auto"/>
        <w:jc w:val="center"/>
        <w:rPr>
          <w:rFonts w:hint="default" w:ascii="Times New Roman" w:hAnsi="Times New Roman" w:eastAsia="黑体" w:cs="Times New Roman"/>
          <w:bCs/>
          <w:kern w:val="0"/>
          <w:sz w:val="28"/>
          <w:szCs w:val="28"/>
        </w:rPr>
      </w:pPr>
      <w:r>
        <w:rPr>
          <w:rFonts w:hint="default" w:ascii="Times New Roman" w:hAnsi="Times New Roman" w:eastAsia="黑体" w:cs="Times New Roman"/>
          <w:bCs/>
          <w:kern w:val="0"/>
          <w:sz w:val="28"/>
          <w:szCs w:val="28"/>
        </w:rPr>
        <w:t>表5</w:t>
      </w:r>
      <w:r>
        <w:rPr>
          <w:rFonts w:hint="eastAsia" w:eastAsia="黑体" w:cs="Times New Roman"/>
          <w:bCs/>
          <w:kern w:val="0"/>
          <w:sz w:val="28"/>
          <w:szCs w:val="28"/>
          <w:lang w:val="en-US" w:eastAsia="zh-CN"/>
        </w:rPr>
        <w:t xml:space="preserve">  </w:t>
      </w:r>
      <w:r>
        <w:rPr>
          <w:rFonts w:hint="default" w:ascii="Times New Roman" w:hAnsi="Times New Roman" w:eastAsia="黑体" w:cs="Times New Roman"/>
          <w:bCs/>
          <w:kern w:val="0"/>
          <w:sz w:val="28"/>
          <w:szCs w:val="28"/>
          <w:lang w:eastAsia="zh-CN"/>
        </w:rPr>
        <w:t>2018</w:t>
      </w:r>
      <w:r>
        <w:rPr>
          <w:rFonts w:hint="default" w:ascii="Times New Roman" w:hAnsi="Times New Roman" w:eastAsia="黑体" w:cs="Times New Roman"/>
          <w:bCs/>
          <w:kern w:val="0"/>
          <w:sz w:val="28"/>
          <w:szCs w:val="28"/>
        </w:rPr>
        <w:t>年郑州市行政分区水资源总量</w:t>
      </w:r>
    </w:p>
    <w:p>
      <w:pPr>
        <w:spacing w:line="240" w:lineRule="auto"/>
        <w:jc w:val="right"/>
        <w:rPr>
          <w:rFonts w:hint="default" w:ascii="Times New Roman" w:hAnsi="Times New Roman" w:eastAsia="仿宋" w:cs="Times New Roman"/>
          <w:sz w:val="30"/>
          <w:szCs w:val="30"/>
        </w:rPr>
      </w:pPr>
      <w:r>
        <w:rPr>
          <w:rFonts w:hint="default" w:ascii="Times New Roman" w:hAnsi="Times New Roman" w:eastAsia="黑体" w:cs="Times New Roman"/>
          <w:kern w:val="0"/>
          <w:sz w:val="24"/>
        </w:rPr>
        <w:t>水量单位：</w:t>
      </w:r>
      <w:r>
        <w:rPr>
          <w:rFonts w:hint="default" w:ascii="Times New Roman" w:hAnsi="Times New Roman" w:eastAsia="黑体" w:cs="Times New Roman"/>
          <w:sz w:val="24"/>
        </w:rPr>
        <w:t>亿m</w:t>
      </w:r>
      <w:r>
        <w:rPr>
          <w:rFonts w:hint="default" w:ascii="Times New Roman" w:hAnsi="Times New Roman" w:eastAsia="黑体" w:cs="Times New Roman"/>
          <w:sz w:val="24"/>
          <w:vertAlign w:val="superscript"/>
        </w:rPr>
        <w:t>3</w:t>
      </w:r>
    </w:p>
    <w:tbl>
      <w:tblPr>
        <w:tblStyle w:val="23"/>
        <w:tblW w:w="9511" w:type="dxa"/>
        <w:jc w:val="center"/>
        <w:tblInd w:w="108" w:type="dxa"/>
        <w:tblLayout w:type="fixed"/>
        <w:tblCellMar>
          <w:top w:w="0" w:type="dxa"/>
          <w:left w:w="108" w:type="dxa"/>
          <w:bottom w:w="0" w:type="dxa"/>
          <w:right w:w="108" w:type="dxa"/>
        </w:tblCellMar>
      </w:tblPr>
      <w:tblGrid>
        <w:gridCol w:w="1184"/>
        <w:gridCol w:w="993"/>
        <w:gridCol w:w="1084"/>
        <w:gridCol w:w="1052"/>
        <w:gridCol w:w="993"/>
        <w:gridCol w:w="1019"/>
        <w:gridCol w:w="994"/>
        <w:gridCol w:w="1004"/>
        <w:gridCol w:w="1188"/>
      </w:tblGrid>
      <w:tr>
        <w:tblPrEx>
          <w:tblLayout w:type="fixed"/>
          <w:tblCellMar>
            <w:top w:w="0" w:type="dxa"/>
            <w:left w:w="108" w:type="dxa"/>
            <w:bottom w:w="0" w:type="dxa"/>
            <w:right w:w="108" w:type="dxa"/>
          </w:tblCellMar>
        </w:tblPrEx>
        <w:trPr>
          <w:trHeight w:val="1176" w:hRule="atLeast"/>
          <w:jc w:val="center"/>
        </w:trPr>
        <w:tc>
          <w:tcPr>
            <w:tcW w:w="1184" w:type="dxa"/>
            <w:tcBorders>
              <w:top w:val="single" w:color="auto" w:sz="12"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color w:val="000000"/>
                <w:kern w:val="0"/>
                <w:sz w:val="24"/>
              </w:rPr>
              <w:t>区名称</w:t>
            </w:r>
          </w:p>
        </w:tc>
        <w:tc>
          <w:tcPr>
            <w:tcW w:w="993" w:type="dxa"/>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计算</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面积（km</w:t>
            </w:r>
            <w:r>
              <w:rPr>
                <w:rFonts w:hint="default" w:ascii="Times New Roman" w:hAnsi="Times New Roman" w:eastAsia="仿宋" w:cs="Times New Roman"/>
                <w:kern w:val="0"/>
                <w:sz w:val="24"/>
                <w:vertAlign w:val="superscript"/>
              </w:rPr>
              <w:t>2</w:t>
            </w:r>
            <w:r>
              <w:rPr>
                <w:rFonts w:hint="default" w:ascii="Times New Roman" w:hAnsi="Times New Roman" w:eastAsia="仿宋" w:cs="Times New Roman"/>
                <w:kern w:val="0"/>
                <w:sz w:val="24"/>
              </w:rPr>
              <w:t>）</w:t>
            </w:r>
          </w:p>
        </w:tc>
        <w:tc>
          <w:tcPr>
            <w:tcW w:w="1084" w:type="dxa"/>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年降</w:t>
            </w:r>
          </w:p>
          <w:p>
            <w:pPr>
              <w:pStyle w:val="37"/>
              <w:pBdr>
                <w:left w:val="none" w:color="auto" w:sz="0" w:space="0"/>
                <w:bottom w:val="none" w:color="auto" w:sz="0" w:space="0"/>
                <w:right w:val="none" w:color="auto" w:sz="0" w:space="0"/>
              </w:pBdr>
              <w:spacing w:before="0" w:beforeAutospacing="0" w:after="0" w:afterAutospacing="0"/>
              <w:jc w:val="center"/>
              <w:textAlignment w:val="auto"/>
              <w:rPr>
                <w:rFonts w:hint="default" w:ascii="Times New Roman" w:hAnsi="Times New Roman" w:eastAsia="仿宋" w:cs="Times New Roman"/>
              </w:rPr>
            </w:pPr>
            <w:r>
              <w:rPr>
                <w:rFonts w:hint="default" w:ascii="Times New Roman" w:hAnsi="Times New Roman" w:eastAsia="仿宋" w:cs="Times New Roman"/>
              </w:rPr>
              <w:t>水量</w:t>
            </w:r>
          </w:p>
        </w:tc>
        <w:tc>
          <w:tcPr>
            <w:tcW w:w="1052" w:type="dxa"/>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地表水资源量</w:t>
            </w:r>
          </w:p>
        </w:tc>
        <w:tc>
          <w:tcPr>
            <w:tcW w:w="993" w:type="dxa"/>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地下水资源量</w:t>
            </w:r>
          </w:p>
        </w:tc>
        <w:tc>
          <w:tcPr>
            <w:tcW w:w="1019" w:type="dxa"/>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eastAsia="仿宋" w:cs="Times New Roman"/>
                <w:kern w:val="0"/>
                <w:sz w:val="24"/>
                <w:lang w:val="en-US" w:eastAsia="zh-CN"/>
              </w:rPr>
              <w:t>地表水与地下水</w:t>
            </w:r>
            <w:r>
              <w:rPr>
                <w:rFonts w:hint="default" w:ascii="Times New Roman" w:hAnsi="Times New Roman" w:eastAsia="仿宋" w:cs="Times New Roman"/>
                <w:kern w:val="0"/>
                <w:sz w:val="24"/>
              </w:rPr>
              <w:t>重复</w:t>
            </w:r>
            <w:r>
              <w:rPr>
                <w:rFonts w:hint="eastAsia" w:eastAsia="仿宋" w:cs="Times New Roman"/>
                <w:kern w:val="0"/>
                <w:sz w:val="24"/>
                <w:lang w:val="en-US" w:eastAsia="zh-CN"/>
              </w:rPr>
              <w:t>计算</w:t>
            </w:r>
            <w:r>
              <w:rPr>
                <w:rFonts w:hint="default" w:ascii="Times New Roman" w:hAnsi="Times New Roman" w:eastAsia="仿宋" w:cs="Times New Roman"/>
                <w:kern w:val="0"/>
                <w:sz w:val="24"/>
              </w:rPr>
              <w:t>量</w:t>
            </w:r>
          </w:p>
        </w:tc>
        <w:tc>
          <w:tcPr>
            <w:tcW w:w="994" w:type="dxa"/>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水资源总量</w:t>
            </w:r>
          </w:p>
        </w:tc>
        <w:tc>
          <w:tcPr>
            <w:tcW w:w="1004" w:type="dxa"/>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产水</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系数</w:t>
            </w:r>
          </w:p>
        </w:tc>
        <w:tc>
          <w:tcPr>
            <w:tcW w:w="1188" w:type="dxa"/>
            <w:tcBorders>
              <w:top w:val="single" w:color="auto" w:sz="12" w:space="0"/>
              <w:left w:val="nil"/>
              <w:bottom w:val="single" w:color="auto" w:sz="12"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产水模数</w:t>
            </w:r>
          </w:p>
          <w:p>
            <w:pPr>
              <w:widowControl/>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w:t>
            </w:r>
            <w:r>
              <w:rPr>
                <w:rFonts w:hint="default" w:ascii="Times New Roman" w:hAnsi="Times New Roman" w:eastAsia="仿宋" w:cs="Times New Roman"/>
                <w:sz w:val="18"/>
                <w:szCs w:val="18"/>
              </w:rPr>
              <w:t>万m</w:t>
            </w:r>
            <w:r>
              <w:rPr>
                <w:rFonts w:hint="default" w:ascii="Times New Roman" w:hAnsi="Times New Roman" w:eastAsia="仿宋" w:cs="Times New Roman"/>
                <w:sz w:val="18"/>
                <w:szCs w:val="18"/>
                <w:vertAlign w:val="superscript"/>
              </w:rPr>
              <w:t>3</w:t>
            </w:r>
            <w:r>
              <w:rPr>
                <w:rFonts w:hint="default" w:ascii="Times New Roman" w:hAnsi="Times New Roman" w:eastAsia="仿宋" w:cs="Times New Roman"/>
                <w:kern w:val="0"/>
                <w:sz w:val="18"/>
                <w:szCs w:val="18"/>
              </w:rPr>
              <w:t>/km</w:t>
            </w:r>
            <w:r>
              <w:rPr>
                <w:rFonts w:hint="default" w:ascii="Times New Roman" w:hAnsi="Times New Roman" w:eastAsia="仿宋" w:cs="Times New Roman"/>
                <w:kern w:val="0"/>
                <w:sz w:val="18"/>
                <w:szCs w:val="18"/>
                <w:vertAlign w:val="superscript"/>
              </w:rPr>
              <w:t>2</w:t>
            </w:r>
            <w:r>
              <w:rPr>
                <w:rFonts w:hint="default" w:ascii="Times New Roman" w:hAnsi="Times New Roman" w:eastAsia="仿宋" w:cs="Times New Roman"/>
                <w:kern w:val="0"/>
                <w:sz w:val="18"/>
                <w:szCs w:val="18"/>
              </w:rPr>
              <w:t>)</w:t>
            </w:r>
          </w:p>
        </w:tc>
      </w:tr>
      <w:tr>
        <w:tblPrEx>
          <w:tblLayout w:type="fixed"/>
          <w:tblCellMar>
            <w:top w:w="0" w:type="dxa"/>
            <w:left w:w="108" w:type="dxa"/>
            <w:bottom w:w="0" w:type="dxa"/>
            <w:right w:w="108" w:type="dxa"/>
          </w:tblCellMar>
        </w:tblPrEx>
        <w:trPr>
          <w:trHeight w:val="612" w:hRule="atLeast"/>
          <w:jc w:val="center"/>
        </w:trPr>
        <w:tc>
          <w:tcPr>
            <w:tcW w:w="1184" w:type="dxa"/>
            <w:tcBorders>
              <w:top w:val="single" w:color="auto" w:sz="12"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新密市</w:t>
            </w:r>
          </w:p>
        </w:tc>
        <w:tc>
          <w:tcPr>
            <w:tcW w:w="993" w:type="dxa"/>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978.0</w:t>
            </w:r>
          </w:p>
        </w:tc>
        <w:tc>
          <w:tcPr>
            <w:tcW w:w="1084"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5.6506</w:t>
            </w:r>
          </w:p>
        </w:tc>
        <w:tc>
          <w:tcPr>
            <w:tcW w:w="1052"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0.5385</w:t>
            </w:r>
          </w:p>
        </w:tc>
        <w:tc>
          <w:tcPr>
            <w:tcW w:w="993"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0.6121</w:t>
            </w:r>
          </w:p>
        </w:tc>
        <w:tc>
          <w:tcPr>
            <w:tcW w:w="1019"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0.0728</w:t>
            </w:r>
          </w:p>
        </w:tc>
        <w:tc>
          <w:tcPr>
            <w:tcW w:w="994"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1.0778</w:t>
            </w:r>
          </w:p>
        </w:tc>
        <w:tc>
          <w:tcPr>
            <w:tcW w:w="1004"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0.19</w:t>
            </w:r>
          </w:p>
        </w:tc>
        <w:tc>
          <w:tcPr>
            <w:tcW w:w="1188" w:type="dxa"/>
            <w:tcBorders>
              <w:top w:val="single" w:color="auto" w:sz="12" w:space="0"/>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11.0</w:t>
            </w:r>
          </w:p>
        </w:tc>
      </w:tr>
      <w:tr>
        <w:tblPrEx>
          <w:tblLayout w:type="fixed"/>
          <w:tblCellMar>
            <w:top w:w="0" w:type="dxa"/>
            <w:left w:w="108" w:type="dxa"/>
            <w:bottom w:w="0" w:type="dxa"/>
            <w:right w:w="108" w:type="dxa"/>
          </w:tblCellMar>
        </w:tblPrEx>
        <w:trPr>
          <w:trHeight w:val="612"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新郑市</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713.0</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3.5116</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0.3347</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0.4462</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0.1765</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0.6044</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0.17</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8.5</w:t>
            </w:r>
          </w:p>
        </w:tc>
      </w:tr>
      <w:tr>
        <w:tblPrEx>
          <w:tblLayout w:type="fixed"/>
          <w:tblCellMar>
            <w:top w:w="0" w:type="dxa"/>
            <w:left w:w="108" w:type="dxa"/>
            <w:bottom w:w="0" w:type="dxa"/>
            <w:right w:w="108" w:type="dxa"/>
          </w:tblCellMar>
        </w:tblPrEx>
        <w:trPr>
          <w:trHeight w:val="612"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荥阳市</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892.2</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4.8066</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0.4342</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0.5625</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0.1168</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0.8799</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0.18</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9.9</w:t>
            </w:r>
          </w:p>
        </w:tc>
      </w:tr>
      <w:tr>
        <w:tblPrEx>
          <w:tblLayout w:type="fixed"/>
          <w:tblCellMar>
            <w:top w:w="0" w:type="dxa"/>
            <w:left w:w="108" w:type="dxa"/>
            <w:bottom w:w="0" w:type="dxa"/>
            <w:right w:w="108" w:type="dxa"/>
          </w:tblCellMar>
        </w:tblPrEx>
        <w:trPr>
          <w:trHeight w:val="612"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登封市</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1219.0</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6.9544</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0.5450</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0.7639</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0.1116</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1.1973</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0.17</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9.8</w:t>
            </w:r>
          </w:p>
        </w:tc>
      </w:tr>
      <w:tr>
        <w:tblPrEx>
          <w:tblLayout w:type="fixed"/>
          <w:tblCellMar>
            <w:top w:w="0" w:type="dxa"/>
            <w:left w:w="108" w:type="dxa"/>
            <w:bottom w:w="0" w:type="dxa"/>
            <w:right w:w="108" w:type="dxa"/>
          </w:tblCellMar>
        </w:tblPrEx>
        <w:trPr>
          <w:trHeight w:val="633"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中牟县</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1203.0</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6.4535</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0.5356</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1.1693</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0.6195</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1.0854</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0.17</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9.0</w:t>
            </w:r>
          </w:p>
        </w:tc>
      </w:tr>
      <w:tr>
        <w:tblPrEx>
          <w:tblLayout w:type="fixed"/>
          <w:tblCellMar>
            <w:top w:w="0" w:type="dxa"/>
            <w:left w:w="108" w:type="dxa"/>
            <w:bottom w:w="0" w:type="dxa"/>
            <w:right w:w="108" w:type="dxa"/>
          </w:tblCellMar>
        </w:tblPrEx>
        <w:trPr>
          <w:trHeight w:val="553"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郑州市区</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992.6</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5.8867</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0.4885</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0.8275</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0.4546</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0.8614</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0.15</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8.7</w:t>
            </w:r>
          </w:p>
        </w:tc>
      </w:tr>
      <w:tr>
        <w:tblPrEx>
          <w:tblLayout w:type="fixed"/>
          <w:tblCellMar>
            <w:top w:w="0" w:type="dxa"/>
            <w:left w:w="108" w:type="dxa"/>
            <w:bottom w:w="0" w:type="dxa"/>
            <w:right w:w="108" w:type="dxa"/>
          </w:tblCellMar>
        </w:tblPrEx>
        <w:trPr>
          <w:trHeight w:val="591"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航空港区</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415.0</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2.0362</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0.1941</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0.2859</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0.1780</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0.3020</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0.15</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7.3</w:t>
            </w:r>
          </w:p>
        </w:tc>
      </w:tr>
      <w:tr>
        <w:tblPrEx>
          <w:tblLayout w:type="fixed"/>
          <w:tblCellMar>
            <w:top w:w="0" w:type="dxa"/>
            <w:left w:w="108" w:type="dxa"/>
            <w:bottom w:w="0" w:type="dxa"/>
            <w:right w:w="108" w:type="dxa"/>
          </w:tblCellMar>
        </w:tblPrEx>
        <w:trPr>
          <w:trHeight w:val="591"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上街区</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57.5</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0.3200</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0.0266</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0.0364</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0.0043</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0.0587</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0.18</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10.2</w:t>
            </w:r>
          </w:p>
        </w:tc>
      </w:tr>
      <w:tr>
        <w:tblPrEx>
          <w:tblLayout w:type="fixed"/>
          <w:tblCellMar>
            <w:top w:w="0" w:type="dxa"/>
            <w:left w:w="108" w:type="dxa"/>
            <w:bottom w:w="0" w:type="dxa"/>
            <w:right w:w="108" w:type="dxa"/>
          </w:tblCellMar>
        </w:tblPrEx>
        <w:trPr>
          <w:trHeight w:val="591" w:hRule="atLeast"/>
          <w:jc w:val="center"/>
        </w:trPr>
        <w:tc>
          <w:tcPr>
            <w:tcW w:w="1184" w:type="dxa"/>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巩义市</w:t>
            </w:r>
          </w:p>
        </w:tc>
        <w:tc>
          <w:tcPr>
            <w:tcW w:w="99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sz w:val="24"/>
                <w:lang w:val="en-US" w:eastAsia="zh-CN"/>
              </w:rPr>
              <w:t>1041</w:t>
            </w:r>
          </w:p>
        </w:tc>
        <w:tc>
          <w:tcPr>
            <w:tcW w:w="108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6.3906</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0.5452</w:t>
            </w:r>
          </w:p>
        </w:tc>
        <w:tc>
          <w:tcPr>
            <w:tcW w:w="99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0.7478</w:t>
            </w:r>
          </w:p>
        </w:tc>
        <w:tc>
          <w:tcPr>
            <w:tcW w:w="101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0.0817</w:t>
            </w:r>
          </w:p>
        </w:tc>
        <w:tc>
          <w:tcPr>
            <w:tcW w:w="99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1.2113</w:t>
            </w:r>
          </w:p>
        </w:tc>
        <w:tc>
          <w:tcPr>
            <w:tcW w:w="100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0.19</w:t>
            </w:r>
          </w:p>
        </w:tc>
        <w:tc>
          <w:tcPr>
            <w:tcW w:w="1188"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11.6</w:t>
            </w:r>
          </w:p>
        </w:tc>
      </w:tr>
      <w:tr>
        <w:tblPrEx>
          <w:tblLayout w:type="fixed"/>
          <w:tblCellMar>
            <w:top w:w="0" w:type="dxa"/>
            <w:left w:w="108" w:type="dxa"/>
            <w:bottom w:w="0" w:type="dxa"/>
            <w:right w:w="108" w:type="dxa"/>
          </w:tblCellMar>
        </w:tblPrEx>
        <w:trPr>
          <w:trHeight w:val="599" w:hRule="atLeast"/>
          <w:jc w:val="center"/>
        </w:trPr>
        <w:tc>
          <w:tcPr>
            <w:tcW w:w="1184" w:type="dxa"/>
            <w:tcBorders>
              <w:top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合计</w:t>
            </w:r>
          </w:p>
        </w:tc>
        <w:tc>
          <w:tcPr>
            <w:tcW w:w="993" w:type="dxa"/>
            <w:tcBorders>
              <w:top w:val="nil"/>
              <w:left w:val="nil"/>
              <w:bottom w:val="single" w:color="auto" w:sz="12" w:space="0"/>
              <w:right w:val="single" w:color="auto" w:sz="4" w:space="0"/>
            </w:tcBorders>
            <w:vAlign w:val="center"/>
          </w:tcPr>
          <w:p>
            <w:pPr>
              <w:jc w:val="center"/>
              <w:rPr>
                <w:rFonts w:hint="default" w:ascii="Times New Roman" w:hAnsi="Times New Roman" w:eastAsia="仿宋" w:cs="Times New Roman"/>
                <w:kern w:val="0"/>
                <w:sz w:val="24"/>
              </w:rPr>
            </w:pPr>
            <w:r>
              <w:rPr>
                <w:rFonts w:hint="eastAsia" w:ascii="Times New Roman" w:hAnsi="Times New Roman" w:eastAsia="仿宋" w:cs="Times New Roman"/>
                <w:sz w:val="24"/>
                <w:lang w:val="en-US" w:eastAsia="zh-CN"/>
              </w:rPr>
              <w:t>7511.3</w:t>
            </w:r>
          </w:p>
        </w:tc>
        <w:tc>
          <w:tcPr>
            <w:tcW w:w="1084"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42.0102</w:t>
            </w:r>
          </w:p>
        </w:tc>
        <w:tc>
          <w:tcPr>
            <w:tcW w:w="1052"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3.6424</w:t>
            </w:r>
          </w:p>
        </w:tc>
        <w:tc>
          <w:tcPr>
            <w:tcW w:w="993"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5.4516</w:t>
            </w:r>
          </w:p>
        </w:tc>
        <w:tc>
          <w:tcPr>
            <w:tcW w:w="1019"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1.8158</w:t>
            </w:r>
          </w:p>
        </w:tc>
        <w:tc>
          <w:tcPr>
            <w:tcW w:w="994"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7.2782</w:t>
            </w:r>
          </w:p>
        </w:tc>
        <w:tc>
          <w:tcPr>
            <w:tcW w:w="1004"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0.17</w:t>
            </w:r>
          </w:p>
        </w:tc>
        <w:tc>
          <w:tcPr>
            <w:tcW w:w="1188" w:type="dxa"/>
            <w:tcBorders>
              <w:top w:val="nil"/>
              <w:left w:val="nil"/>
              <w:bottom w:val="single" w:color="auto" w:sz="12"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9.7</w:t>
            </w:r>
          </w:p>
        </w:tc>
      </w:tr>
    </w:tbl>
    <w:p>
      <w:pPr>
        <w:rPr>
          <w:rFonts w:hint="default" w:ascii="Times New Roman" w:hAnsi="Times New Roman" w:cs="Times New Roman"/>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pStyle w:val="3"/>
        <w:spacing w:before="0" w:after="0" w:line="360" w:lineRule="auto"/>
        <w:jc w:val="center"/>
        <w:rPr>
          <w:rFonts w:hint="default" w:ascii="Times New Roman" w:hAnsi="Times New Roman" w:eastAsia="黑体" w:cs="Times New Roman"/>
          <w:b w:val="0"/>
        </w:rPr>
      </w:pPr>
      <w:bookmarkStart w:id="12" w:name="_Toc12123"/>
      <w:r>
        <w:rPr>
          <w:rFonts w:hint="default" w:ascii="Times New Roman" w:hAnsi="Times New Roman" w:eastAsia="黑体" w:cs="Times New Roman"/>
          <w:b w:val="0"/>
        </w:rPr>
        <w:t>3 蓄水动态</w:t>
      </w:r>
      <w:bookmarkEnd w:id="12"/>
    </w:p>
    <w:p>
      <w:pPr>
        <w:pStyle w:val="4"/>
        <w:spacing w:before="0" w:after="0" w:line="360" w:lineRule="auto"/>
        <w:jc w:val="left"/>
        <w:rPr>
          <w:rFonts w:hint="default" w:ascii="Times New Roman" w:hAnsi="Times New Roman" w:eastAsia="仿宋" w:cs="Times New Roman"/>
        </w:rPr>
      </w:pPr>
      <w:bookmarkStart w:id="13" w:name="_Toc16297"/>
      <w:r>
        <w:rPr>
          <w:rFonts w:hint="default" w:ascii="Times New Roman" w:hAnsi="Times New Roman" w:cs="Times New Roman"/>
          <w:b w:val="0"/>
        </w:rPr>
        <w:t>3.1 水库蓄水动态</w:t>
      </w:r>
      <w:bookmarkEnd w:id="13"/>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年郑州市1</w:t>
      </w:r>
      <w:r>
        <w:rPr>
          <w:rFonts w:hint="eastAsia" w:eastAsia="仿宋" w:cs="Times New Roman"/>
          <w:sz w:val="30"/>
          <w:szCs w:val="30"/>
          <w:lang w:val="en-US" w:eastAsia="zh-CN"/>
        </w:rPr>
        <w:t>4</w:t>
      </w:r>
      <w:r>
        <w:rPr>
          <w:rFonts w:hint="default" w:ascii="Times New Roman" w:hAnsi="Times New Roman" w:eastAsia="仿宋" w:cs="Times New Roman"/>
          <w:sz w:val="30"/>
          <w:szCs w:val="30"/>
        </w:rPr>
        <w:t>座中型水库年初蓄水量0.</w:t>
      </w:r>
      <w:r>
        <w:rPr>
          <w:rFonts w:hint="default" w:ascii="Times New Roman" w:hAnsi="Times New Roman" w:eastAsia="仿宋" w:cs="Times New Roman"/>
          <w:sz w:val="30"/>
          <w:szCs w:val="30"/>
          <w:lang w:val="en-US" w:eastAsia="zh-CN"/>
        </w:rPr>
        <w:t>4</w:t>
      </w:r>
      <w:r>
        <w:rPr>
          <w:rFonts w:hint="eastAsia" w:eastAsia="仿宋" w:cs="Times New Roman"/>
          <w:sz w:val="30"/>
          <w:szCs w:val="30"/>
          <w:lang w:val="en-US" w:eastAsia="zh-CN"/>
        </w:rPr>
        <w:t>624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，年末蓄水量0.4</w:t>
      </w:r>
      <w:r>
        <w:rPr>
          <w:rFonts w:hint="eastAsia" w:eastAsia="仿宋" w:cs="Times New Roman"/>
          <w:sz w:val="30"/>
          <w:szCs w:val="30"/>
          <w:lang w:val="en-US" w:eastAsia="zh-CN"/>
        </w:rPr>
        <w:t>665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，年蓄水变量</w:t>
      </w:r>
      <w:r>
        <w:rPr>
          <w:rFonts w:hint="default" w:ascii="Times New Roman" w:hAnsi="Times New Roman" w:eastAsia="仿宋" w:cs="Times New Roman"/>
          <w:sz w:val="30"/>
          <w:szCs w:val="30"/>
          <w:lang w:val="en-US" w:eastAsia="zh-CN"/>
        </w:rPr>
        <w:t>增加</w:t>
      </w:r>
      <w:r>
        <w:rPr>
          <w:rFonts w:hint="default" w:ascii="Times New Roman" w:hAnsi="Times New Roman" w:eastAsia="仿宋" w:cs="Times New Roman"/>
          <w:sz w:val="30"/>
          <w:szCs w:val="30"/>
        </w:rPr>
        <w:t>0.0</w:t>
      </w:r>
      <w:r>
        <w:rPr>
          <w:rFonts w:hint="default" w:ascii="Times New Roman" w:hAnsi="Times New Roman" w:eastAsia="仿宋" w:cs="Times New Roman"/>
          <w:sz w:val="30"/>
          <w:szCs w:val="30"/>
          <w:lang w:val="en-US" w:eastAsia="zh-CN"/>
        </w:rPr>
        <w:t>0</w:t>
      </w:r>
      <w:r>
        <w:rPr>
          <w:rFonts w:hint="eastAsia" w:eastAsia="仿宋" w:cs="Times New Roman"/>
          <w:sz w:val="30"/>
          <w:szCs w:val="30"/>
          <w:lang w:val="en-US" w:eastAsia="zh-CN"/>
        </w:rPr>
        <w:t>41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。详见表6，图4。</w:t>
      </w:r>
    </w:p>
    <w:p>
      <w:pPr>
        <w:spacing w:line="240" w:lineRule="auto"/>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表6</w:t>
      </w:r>
      <w:r>
        <w:rPr>
          <w:rFonts w:hint="eastAsia" w:eastAsia="黑体" w:cs="Times New Roman"/>
          <w:bCs/>
          <w:sz w:val="28"/>
          <w:szCs w:val="28"/>
          <w:lang w:val="en-US" w:eastAsia="zh-CN"/>
        </w:rPr>
        <w:t xml:space="preserve">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年郑州市中型水库蓄水量统计表</w:t>
      </w:r>
    </w:p>
    <w:p>
      <w:pPr>
        <w:spacing w:line="240" w:lineRule="auto"/>
        <w:ind w:firstLine="480" w:firstLineChars="200"/>
        <w:jc w:val="right"/>
        <w:rPr>
          <w:rFonts w:hint="default" w:ascii="Times New Roman" w:hAnsi="Times New Roman" w:eastAsia="仿宋" w:cs="Times New Roman"/>
          <w:sz w:val="30"/>
          <w:szCs w:val="30"/>
        </w:rPr>
      </w:pPr>
      <w:r>
        <w:rPr>
          <w:rFonts w:hint="default" w:ascii="Times New Roman" w:hAnsi="Times New Roman" w:eastAsia="黑体" w:cs="Times New Roman"/>
          <w:sz w:val="24"/>
        </w:rPr>
        <w:t>单位：万m</w:t>
      </w:r>
      <w:r>
        <w:rPr>
          <w:rFonts w:hint="default" w:ascii="Times New Roman" w:hAnsi="Times New Roman" w:eastAsia="黑体" w:cs="Times New Roman"/>
          <w:sz w:val="24"/>
          <w:vertAlign w:val="superscript"/>
        </w:rPr>
        <w:t>3</w:t>
      </w:r>
    </w:p>
    <w:tbl>
      <w:tblPr>
        <w:tblStyle w:val="23"/>
        <w:tblW w:w="9480" w:type="dxa"/>
        <w:jc w:val="center"/>
        <w:tblInd w:w="0" w:type="dxa"/>
        <w:tblLayout w:type="fixed"/>
        <w:tblCellMar>
          <w:top w:w="0" w:type="dxa"/>
          <w:left w:w="108" w:type="dxa"/>
          <w:bottom w:w="0" w:type="dxa"/>
          <w:right w:w="108" w:type="dxa"/>
        </w:tblCellMar>
      </w:tblPr>
      <w:tblGrid>
        <w:gridCol w:w="1318"/>
        <w:gridCol w:w="1023"/>
        <w:gridCol w:w="143"/>
        <w:gridCol w:w="903"/>
        <w:gridCol w:w="262"/>
        <w:gridCol w:w="736"/>
        <w:gridCol w:w="430"/>
        <w:gridCol w:w="638"/>
        <w:gridCol w:w="528"/>
        <w:gridCol w:w="449"/>
        <w:gridCol w:w="716"/>
        <w:gridCol w:w="212"/>
        <w:gridCol w:w="886"/>
        <w:gridCol w:w="68"/>
        <w:gridCol w:w="1161"/>
        <w:gridCol w:w="7"/>
      </w:tblGrid>
      <w:tr>
        <w:tblPrEx>
          <w:tblLayout w:type="fixed"/>
          <w:tblCellMar>
            <w:top w:w="0" w:type="dxa"/>
            <w:left w:w="108" w:type="dxa"/>
            <w:bottom w:w="0" w:type="dxa"/>
            <w:right w:w="108" w:type="dxa"/>
          </w:tblCellMar>
        </w:tblPrEx>
        <w:trPr>
          <w:trHeight w:val="322" w:hRule="atLeast"/>
          <w:jc w:val="center"/>
        </w:trPr>
        <w:tc>
          <w:tcPr>
            <w:tcW w:w="1318" w:type="dxa"/>
            <w:vMerge w:val="restart"/>
            <w:tcBorders>
              <w:top w:val="single" w:color="auto" w:sz="12" w:space="0"/>
              <w:bottom w:val="single" w:color="auto" w:sz="4" w:space="0"/>
              <w:right w:val="single" w:color="auto" w:sz="12" w:space="0"/>
            </w:tcBorders>
            <w:shd w:val="clear" w:color="auto" w:fill="auto"/>
            <w:vAlign w:val="center"/>
          </w:tcPr>
          <w:p>
            <w:pPr>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月份</w:t>
            </w:r>
          </w:p>
        </w:tc>
        <w:tc>
          <w:tcPr>
            <w:tcW w:w="8162" w:type="dxa"/>
            <w:gridSpan w:val="15"/>
            <w:tcBorders>
              <w:top w:val="single" w:color="auto" w:sz="12" w:space="0"/>
              <w:left w:val="single" w:color="auto" w:sz="12" w:space="0"/>
              <w:bottom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月初蓄水量</w:t>
            </w:r>
          </w:p>
        </w:tc>
      </w:tr>
      <w:tr>
        <w:tblPrEx>
          <w:tblLayout w:type="fixed"/>
          <w:tblCellMar>
            <w:top w:w="0" w:type="dxa"/>
            <w:left w:w="108" w:type="dxa"/>
            <w:bottom w:w="0" w:type="dxa"/>
            <w:right w:w="108" w:type="dxa"/>
          </w:tblCellMar>
        </w:tblPrEx>
        <w:trPr>
          <w:trHeight w:val="303" w:hRule="atLeast"/>
          <w:jc w:val="center"/>
        </w:trPr>
        <w:tc>
          <w:tcPr>
            <w:tcW w:w="1318" w:type="dxa"/>
            <w:vMerge w:val="continue"/>
            <w:tcBorders>
              <w:top w:val="single" w:color="auto" w:sz="4" w:space="0"/>
              <w:bottom w:val="single" w:color="auto" w:sz="12" w:space="0"/>
              <w:right w:val="single" w:color="auto" w:sz="12" w:space="0"/>
            </w:tcBorders>
            <w:vAlign w:val="center"/>
          </w:tcPr>
          <w:p>
            <w:pPr>
              <w:widowControl/>
              <w:jc w:val="center"/>
              <w:rPr>
                <w:rFonts w:hint="default" w:ascii="Times New Roman" w:hAnsi="Times New Roman" w:eastAsia="仿宋" w:cs="Times New Roman"/>
                <w:kern w:val="0"/>
                <w:sz w:val="24"/>
              </w:rPr>
            </w:pPr>
          </w:p>
        </w:tc>
        <w:tc>
          <w:tcPr>
            <w:tcW w:w="1166" w:type="dxa"/>
            <w:gridSpan w:val="2"/>
            <w:tcBorders>
              <w:top w:val="nil"/>
              <w:left w:val="single" w:color="auto" w:sz="12" w:space="0"/>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少林</w:t>
            </w:r>
          </w:p>
        </w:tc>
        <w:tc>
          <w:tcPr>
            <w:tcW w:w="1165"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券门</w:t>
            </w:r>
          </w:p>
        </w:tc>
        <w:tc>
          <w:tcPr>
            <w:tcW w:w="1166"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纸坊</w:t>
            </w:r>
          </w:p>
        </w:tc>
        <w:tc>
          <w:tcPr>
            <w:tcW w:w="1166"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丁店</w:t>
            </w:r>
          </w:p>
        </w:tc>
        <w:tc>
          <w:tcPr>
            <w:tcW w:w="1165"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楚楼</w:t>
            </w:r>
          </w:p>
        </w:tc>
        <w:tc>
          <w:tcPr>
            <w:tcW w:w="1166" w:type="dxa"/>
            <w:gridSpan w:val="3"/>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河王</w:t>
            </w:r>
          </w:p>
        </w:tc>
        <w:tc>
          <w:tcPr>
            <w:tcW w:w="1168" w:type="dxa"/>
            <w:gridSpan w:val="2"/>
            <w:tcBorders>
              <w:top w:val="nil"/>
              <w:left w:val="nil"/>
              <w:bottom w:val="single" w:color="auto" w:sz="12"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尖岗</w:t>
            </w:r>
          </w:p>
        </w:tc>
      </w:tr>
      <w:tr>
        <w:tblPrEx>
          <w:tblLayout w:type="fixed"/>
          <w:tblCellMar>
            <w:top w:w="0" w:type="dxa"/>
            <w:left w:w="108" w:type="dxa"/>
            <w:bottom w:w="0" w:type="dxa"/>
            <w:right w:w="108" w:type="dxa"/>
          </w:tblCellMar>
        </w:tblPrEx>
        <w:trPr>
          <w:trHeight w:val="322" w:hRule="atLeast"/>
          <w:jc w:val="center"/>
        </w:trPr>
        <w:tc>
          <w:tcPr>
            <w:tcW w:w="1318" w:type="dxa"/>
            <w:tcBorders>
              <w:top w:val="single" w:color="auto" w:sz="12"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一月</w:t>
            </w:r>
          </w:p>
        </w:tc>
        <w:tc>
          <w:tcPr>
            <w:tcW w:w="1166"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309</w:t>
            </w:r>
          </w:p>
        </w:tc>
        <w:tc>
          <w:tcPr>
            <w:tcW w:w="1165"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211</w:t>
            </w:r>
          </w:p>
        </w:tc>
        <w:tc>
          <w:tcPr>
            <w:tcW w:w="1166"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289</w:t>
            </w:r>
          </w:p>
        </w:tc>
        <w:tc>
          <w:tcPr>
            <w:tcW w:w="1166"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153</w:t>
            </w:r>
          </w:p>
        </w:tc>
        <w:tc>
          <w:tcPr>
            <w:tcW w:w="1165"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1201</w:t>
            </w:r>
          </w:p>
        </w:tc>
        <w:tc>
          <w:tcPr>
            <w:tcW w:w="1168" w:type="dxa"/>
            <w:gridSpan w:val="2"/>
            <w:tcBorders>
              <w:top w:val="single" w:color="auto" w:sz="12" w:space="0"/>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1035</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二月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294</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212</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277</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153</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1267</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1097</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三月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275</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216</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261</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151</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1233</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1225</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四月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263</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220</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245</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145</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1216</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1080</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五月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260</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220</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254</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122</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1183</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1084</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六月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323</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221</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323</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120</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1165</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1066</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七月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306</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221</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296</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107</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1058</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1108</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八月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301</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220</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282</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93</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1069</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1072</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九月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381</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229</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339</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84</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930</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1075</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十月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385</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245</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338</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105</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907</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1110</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十一月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356</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253</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304</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86</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875</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1023</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十二月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339</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255</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276</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82</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987</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1088</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次年一月</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312</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258</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254</w:t>
            </w:r>
          </w:p>
        </w:tc>
        <w:tc>
          <w:tcPr>
            <w:tcW w:w="116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80</w:t>
            </w:r>
          </w:p>
        </w:tc>
        <w:tc>
          <w:tcPr>
            <w:tcW w:w="1165"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75</w:t>
            </w:r>
          </w:p>
        </w:tc>
        <w:tc>
          <w:tcPr>
            <w:tcW w:w="1166"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1061</w:t>
            </w:r>
          </w:p>
        </w:tc>
        <w:tc>
          <w:tcPr>
            <w:tcW w:w="1168"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1124</w:t>
            </w:r>
          </w:p>
        </w:tc>
      </w:tr>
      <w:tr>
        <w:tblPrEx>
          <w:tblLayout w:type="fixed"/>
          <w:tblCellMar>
            <w:top w:w="0" w:type="dxa"/>
            <w:left w:w="108" w:type="dxa"/>
            <w:bottom w:w="0" w:type="dxa"/>
            <w:right w:w="108" w:type="dxa"/>
          </w:tblCellMar>
        </w:tblPrEx>
        <w:trPr>
          <w:trHeight w:val="303" w:hRule="atLeast"/>
          <w:jc w:val="center"/>
        </w:trPr>
        <w:tc>
          <w:tcPr>
            <w:tcW w:w="1318" w:type="dxa"/>
            <w:tcBorders>
              <w:top w:val="nil"/>
              <w:bottom w:val="single" w:color="auto" w:sz="12" w:space="0"/>
              <w:right w:val="nil"/>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年蓄变量</w:t>
            </w:r>
          </w:p>
        </w:tc>
        <w:tc>
          <w:tcPr>
            <w:tcW w:w="1166" w:type="dxa"/>
            <w:gridSpan w:val="2"/>
            <w:tcBorders>
              <w:top w:val="nil"/>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w:t>
            </w:r>
          </w:p>
        </w:tc>
        <w:tc>
          <w:tcPr>
            <w:tcW w:w="1165"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47</w:t>
            </w:r>
          </w:p>
        </w:tc>
        <w:tc>
          <w:tcPr>
            <w:tcW w:w="1166"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-35</w:t>
            </w:r>
          </w:p>
        </w:tc>
        <w:tc>
          <w:tcPr>
            <w:tcW w:w="1166"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-73</w:t>
            </w:r>
          </w:p>
        </w:tc>
        <w:tc>
          <w:tcPr>
            <w:tcW w:w="1165"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w:t>
            </w:r>
          </w:p>
        </w:tc>
        <w:tc>
          <w:tcPr>
            <w:tcW w:w="1166" w:type="dxa"/>
            <w:gridSpan w:val="3"/>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-140</w:t>
            </w:r>
          </w:p>
        </w:tc>
        <w:tc>
          <w:tcPr>
            <w:tcW w:w="1168" w:type="dxa"/>
            <w:gridSpan w:val="2"/>
            <w:tcBorders>
              <w:top w:val="nil"/>
              <w:left w:val="nil"/>
              <w:bottom w:val="single" w:color="auto"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89</w:t>
            </w:r>
          </w:p>
        </w:tc>
      </w:tr>
      <w:tr>
        <w:tblPrEx>
          <w:tblLayout w:type="fixed"/>
          <w:tblCellMar>
            <w:top w:w="0" w:type="dxa"/>
            <w:left w:w="108" w:type="dxa"/>
            <w:bottom w:w="0" w:type="dxa"/>
            <w:right w:w="108" w:type="dxa"/>
          </w:tblCellMar>
        </w:tblPrEx>
        <w:trPr>
          <w:gridAfter w:val="1"/>
          <w:wAfter w:w="7" w:type="dxa"/>
          <w:trHeight w:val="362" w:hRule="atLeast"/>
          <w:jc w:val="center"/>
        </w:trPr>
        <w:tc>
          <w:tcPr>
            <w:tcW w:w="1318" w:type="dxa"/>
            <w:vMerge w:val="restart"/>
            <w:tcBorders>
              <w:top w:val="single" w:color="auto" w:sz="12"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月份</w:t>
            </w:r>
          </w:p>
        </w:tc>
        <w:tc>
          <w:tcPr>
            <w:tcW w:w="8155" w:type="dxa"/>
            <w:gridSpan w:val="14"/>
            <w:tcBorders>
              <w:top w:val="single" w:color="auto" w:sz="12" w:space="0"/>
              <w:left w:val="nil"/>
              <w:bottom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月初蓄水量</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vMerge w:val="continue"/>
            <w:tcBorders>
              <w:top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p>
        </w:tc>
        <w:tc>
          <w:tcPr>
            <w:tcW w:w="1023" w:type="dxa"/>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常庄</w:t>
            </w:r>
          </w:p>
        </w:tc>
        <w:tc>
          <w:tcPr>
            <w:tcW w:w="1046"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李湾</w:t>
            </w:r>
          </w:p>
        </w:tc>
        <w:tc>
          <w:tcPr>
            <w:tcW w:w="998"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五星</w:t>
            </w:r>
          </w:p>
        </w:tc>
        <w:tc>
          <w:tcPr>
            <w:tcW w:w="1068"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老观寨</w:t>
            </w:r>
          </w:p>
        </w:tc>
        <w:tc>
          <w:tcPr>
            <w:tcW w:w="977"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唐岗</w:t>
            </w:r>
          </w:p>
        </w:tc>
        <w:tc>
          <w:tcPr>
            <w:tcW w:w="928" w:type="dxa"/>
            <w:gridSpan w:val="2"/>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后湖</w:t>
            </w:r>
          </w:p>
        </w:tc>
        <w:tc>
          <w:tcPr>
            <w:tcW w:w="886" w:type="dxa"/>
            <w:tcBorders>
              <w:top w:val="nil"/>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坞罗</w:t>
            </w:r>
          </w:p>
        </w:tc>
        <w:tc>
          <w:tcPr>
            <w:tcW w:w="1229" w:type="dxa"/>
            <w:gridSpan w:val="2"/>
            <w:tcBorders>
              <w:top w:val="nil"/>
              <w:left w:val="nil"/>
              <w:bottom w:val="single" w:color="auto"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合计</w:t>
            </w:r>
          </w:p>
        </w:tc>
      </w:tr>
      <w:tr>
        <w:tblPrEx>
          <w:tblLayout w:type="fixed"/>
          <w:tblCellMar>
            <w:top w:w="0" w:type="dxa"/>
            <w:left w:w="108" w:type="dxa"/>
            <w:bottom w:w="0" w:type="dxa"/>
            <w:right w:w="108" w:type="dxa"/>
          </w:tblCellMar>
        </w:tblPrEx>
        <w:trPr>
          <w:gridAfter w:val="1"/>
          <w:wAfter w:w="7" w:type="dxa"/>
          <w:trHeight w:val="362" w:hRule="atLeast"/>
          <w:jc w:val="center"/>
        </w:trPr>
        <w:tc>
          <w:tcPr>
            <w:tcW w:w="1318" w:type="dxa"/>
            <w:tcBorders>
              <w:top w:val="single" w:color="auto" w:sz="12"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一月</w:t>
            </w:r>
          </w:p>
        </w:tc>
        <w:tc>
          <w:tcPr>
            <w:tcW w:w="1023"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292</w:t>
            </w:r>
          </w:p>
        </w:tc>
        <w:tc>
          <w:tcPr>
            <w:tcW w:w="1046"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92</w:t>
            </w:r>
          </w:p>
        </w:tc>
        <w:tc>
          <w:tcPr>
            <w:tcW w:w="998"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332</w:t>
            </w:r>
          </w:p>
        </w:tc>
        <w:tc>
          <w:tcPr>
            <w:tcW w:w="1068"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113</w:t>
            </w:r>
          </w:p>
        </w:tc>
        <w:tc>
          <w:tcPr>
            <w:tcW w:w="977"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422</w:t>
            </w:r>
          </w:p>
        </w:tc>
        <w:tc>
          <w:tcPr>
            <w:tcW w:w="928" w:type="dxa"/>
            <w:gridSpan w:val="2"/>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20</w:t>
            </w:r>
          </w:p>
        </w:tc>
        <w:tc>
          <w:tcPr>
            <w:tcW w:w="886"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80</w:t>
            </w:r>
          </w:p>
        </w:tc>
        <w:tc>
          <w:tcPr>
            <w:tcW w:w="1229" w:type="dxa"/>
            <w:gridSpan w:val="2"/>
            <w:tcBorders>
              <w:top w:val="single" w:color="auto" w:sz="12" w:space="0"/>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4624</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二月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274</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86</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294</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112</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473</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20</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75</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4709</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三月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457</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86</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254</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111</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438</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20</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74</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4876</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四月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599</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85</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234</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110</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402</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20</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190</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4884</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五月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550</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83</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237</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109</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415</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20</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113</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4725</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六月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515</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80</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233</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192</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381</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104</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4828</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七月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478</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76</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225</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208</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340</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89</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4617</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八月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447</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73</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202</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199</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356</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82</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4501</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九月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430</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155</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245</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196</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345</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32</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93</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4609</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十月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408</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153</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263</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192</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446</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32</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87</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4746</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十一月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380</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148</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283</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184</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414</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32</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78</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4491</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十二月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362</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143</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278</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179</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412</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32</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76</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4584</w:t>
            </w:r>
          </w:p>
        </w:tc>
      </w:tr>
      <w:tr>
        <w:tblPrEx>
          <w:tblLayout w:type="fixed"/>
          <w:tblCellMar>
            <w:top w:w="0" w:type="dxa"/>
            <w:left w:w="108" w:type="dxa"/>
            <w:bottom w:w="0" w:type="dxa"/>
            <w:right w:w="108" w:type="dxa"/>
          </w:tblCellMar>
        </w:tblPrEx>
        <w:trPr>
          <w:gridAfter w:val="1"/>
          <w:wAfter w:w="7" w:type="dxa"/>
          <w:trHeight w:val="309" w:hRule="atLeast"/>
          <w:jc w:val="center"/>
        </w:trPr>
        <w:tc>
          <w:tcPr>
            <w:tcW w:w="1318" w:type="dxa"/>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次年一月</w:t>
            </w:r>
          </w:p>
        </w:tc>
        <w:tc>
          <w:tcPr>
            <w:tcW w:w="102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345</w:t>
            </w:r>
          </w:p>
        </w:tc>
        <w:tc>
          <w:tcPr>
            <w:tcW w:w="1046"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138</w:t>
            </w:r>
          </w:p>
        </w:tc>
        <w:tc>
          <w:tcPr>
            <w:tcW w:w="99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286</w:t>
            </w:r>
          </w:p>
        </w:tc>
        <w:tc>
          <w:tcPr>
            <w:tcW w:w="106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175</w:t>
            </w:r>
          </w:p>
        </w:tc>
        <w:tc>
          <w:tcPr>
            <w:tcW w:w="977"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457</w:t>
            </w:r>
          </w:p>
        </w:tc>
        <w:tc>
          <w:tcPr>
            <w:tcW w:w="928"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32</w:t>
            </w:r>
          </w:p>
        </w:tc>
        <w:tc>
          <w:tcPr>
            <w:tcW w:w="88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68</w:t>
            </w:r>
          </w:p>
        </w:tc>
        <w:tc>
          <w:tcPr>
            <w:tcW w:w="1229" w:type="dxa"/>
            <w:gridSpan w:val="2"/>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4665</w:t>
            </w:r>
          </w:p>
        </w:tc>
      </w:tr>
      <w:tr>
        <w:tblPrEx>
          <w:tblLayout w:type="fixed"/>
          <w:tblCellMar>
            <w:top w:w="0" w:type="dxa"/>
            <w:left w:w="108" w:type="dxa"/>
            <w:bottom w:w="0" w:type="dxa"/>
            <w:right w:w="108" w:type="dxa"/>
          </w:tblCellMar>
        </w:tblPrEx>
        <w:trPr>
          <w:gridAfter w:val="1"/>
          <w:wAfter w:w="7" w:type="dxa"/>
          <w:trHeight w:val="390" w:hRule="atLeast"/>
          <w:jc w:val="center"/>
        </w:trPr>
        <w:tc>
          <w:tcPr>
            <w:tcW w:w="1318" w:type="dxa"/>
            <w:tcBorders>
              <w:top w:val="nil"/>
              <w:bottom w:val="single" w:color="auto" w:sz="12" w:space="0"/>
              <w:right w:val="nil"/>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年蓄变量</w:t>
            </w:r>
          </w:p>
        </w:tc>
        <w:tc>
          <w:tcPr>
            <w:tcW w:w="1023" w:type="dxa"/>
            <w:tcBorders>
              <w:top w:val="nil"/>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53</w:t>
            </w:r>
          </w:p>
        </w:tc>
        <w:tc>
          <w:tcPr>
            <w:tcW w:w="1046"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46</w:t>
            </w:r>
          </w:p>
        </w:tc>
        <w:tc>
          <w:tcPr>
            <w:tcW w:w="998"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-46</w:t>
            </w:r>
          </w:p>
        </w:tc>
        <w:tc>
          <w:tcPr>
            <w:tcW w:w="1068"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62</w:t>
            </w:r>
          </w:p>
        </w:tc>
        <w:tc>
          <w:tcPr>
            <w:tcW w:w="977"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35</w:t>
            </w:r>
          </w:p>
        </w:tc>
        <w:tc>
          <w:tcPr>
            <w:tcW w:w="928" w:type="dxa"/>
            <w:gridSpan w:val="2"/>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w:t>
            </w:r>
          </w:p>
        </w:tc>
        <w:tc>
          <w:tcPr>
            <w:tcW w:w="886" w:type="dxa"/>
            <w:tcBorders>
              <w:top w:val="nil"/>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-12</w:t>
            </w:r>
          </w:p>
        </w:tc>
        <w:tc>
          <w:tcPr>
            <w:tcW w:w="1229" w:type="dxa"/>
            <w:gridSpan w:val="2"/>
            <w:tcBorders>
              <w:top w:val="nil"/>
              <w:left w:val="nil"/>
              <w:bottom w:val="single" w:color="auto"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41</w:t>
            </w:r>
          </w:p>
        </w:tc>
      </w:tr>
    </w:tbl>
    <w:p>
      <w:pPr>
        <w:pStyle w:val="2"/>
        <w:ind w:left="0" w:leftChars="0" w:firstLine="0" w:firstLineChars="0"/>
        <w:rPr>
          <w:rFonts w:hint="default" w:ascii="Times New Roman" w:hAnsi="Times New Roman" w:eastAsia="仿宋" w:cs="Times New Roman"/>
          <w:b/>
          <w:bCs/>
          <w:sz w:val="24"/>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jc w:val="center"/>
        <w:rPr>
          <w:rFonts w:hint="default" w:ascii="Times New Roman" w:hAnsi="Times New Roman" w:cs="Times New Roman"/>
        </w:rPr>
      </w:pPr>
    </w:p>
    <w:p>
      <w:pPr>
        <w:jc w:val="center"/>
        <w:rPr>
          <w:rFonts w:hint="default" w:ascii="Times New Roman" w:hAnsi="Times New Roman" w:cs="Times New Roman"/>
        </w:rPr>
      </w:pPr>
      <w:r>
        <w:drawing>
          <wp:inline distT="0" distB="0" distL="114300" distR="114300">
            <wp:extent cx="5102860" cy="3407410"/>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图4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年郑州市中型水库年蓄变量图</w:t>
      </w:r>
    </w:p>
    <w:p>
      <w:pPr>
        <w:rPr>
          <w:rFonts w:hint="default" w:ascii="Times New Roman" w:hAnsi="Times New Roman" w:cs="Times New Roman"/>
        </w:rPr>
      </w:pPr>
    </w:p>
    <w:p>
      <w:pPr>
        <w:pStyle w:val="4"/>
        <w:spacing w:before="0" w:after="0" w:line="360" w:lineRule="auto"/>
        <w:jc w:val="left"/>
        <w:rPr>
          <w:rFonts w:hint="default" w:ascii="Times New Roman" w:hAnsi="Times New Roman" w:cs="Times New Roman"/>
          <w:b w:val="0"/>
        </w:rPr>
      </w:pPr>
      <w:bookmarkStart w:id="14" w:name="_Toc25519"/>
      <w:r>
        <w:rPr>
          <w:rFonts w:hint="default" w:ascii="Times New Roman" w:hAnsi="Times New Roman" w:cs="Times New Roman"/>
          <w:b w:val="0"/>
        </w:rPr>
        <w:t xml:space="preserve">3.2 </w:t>
      </w:r>
      <w:r>
        <w:rPr>
          <w:rFonts w:hint="eastAsia" w:ascii="Times New Roman" w:hAnsi="Times New Roman" w:cs="Times New Roman"/>
          <w:b w:val="0"/>
          <w:lang w:val="en-US" w:eastAsia="zh-CN"/>
        </w:rPr>
        <w:t>浅层</w:t>
      </w:r>
      <w:r>
        <w:rPr>
          <w:rFonts w:hint="default" w:ascii="Times New Roman" w:hAnsi="Times New Roman" w:cs="Times New Roman"/>
          <w:b w:val="0"/>
        </w:rPr>
        <w:t>地下水动态变化</w:t>
      </w:r>
      <w:bookmarkEnd w:id="14"/>
    </w:p>
    <w:p>
      <w:pPr>
        <w:spacing w:line="360" w:lineRule="auto"/>
        <w:ind w:firstLine="57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根据</w:t>
      </w:r>
      <w:r>
        <w:rPr>
          <w:rFonts w:hint="eastAsia" w:eastAsia="仿宋" w:cs="Times New Roman"/>
          <w:sz w:val="30"/>
          <w:szCs w:val="30"/>
          <w:lang w:val="en-US" w:eastAsia="zh-CN"/>
        </w:rPr>
        <w:t>2018年</w:t>
      </w:r>
      <w:r>
        <w:rPr>
          <w:rFonts w:hint="default" w:ascii="Times New Roman" w:hAnsi="Times New Roman" w:eastAsia="仿宋" w:cs="Times New Roman"/>
          <w:sz w:val="30"/>
          <w:szCs w:val="30"/>
        </w:rPr>
        <w:t>郑州</w:t>
      </w:r>
      <w:r>
        <w:rPr>
          <w:rFonts w:hint="eastAsia" w:eastAsia="仿宋" w:cs="Times New Roman"/>
          <w:sz w:val="30"/>
          <w:szCs w:val="30"/>
          <w:lang w:val="en-US" w:eastAsia="zh-CN"/>
        </w:rPr>
        <w:t>市56浅层地下水</w:t>
      </w:r>
      <w:r>
        <w:rPr>
          <w:rFonts w:hint="default" w:ascii="Times New Roman" w:hAnsi="Times New Roman" w:eastAsia="仿宋" w:cs="Times New Roman"/>
          <w:sz w:val="30"/>
          <w:szCs w:val="30"/>
        </w:rPr>
        <w:t>常观井观测资料统计（上街辖区内及周边没有设立地下水观测井无法统计），郑州市全区浅层地下水平均水位较年初</w:t>
      </w:r>
      <w:r>
        <w:rPr>
          <w:rFonts w:hint="eastAsia" w:eastAsia="仿宋" w:cs="Times New Roman"/>
          <w:sz w:val="30"/>
          <w:szCs w:val="30"/>
          <w:lang w:val="en-US" w:eastAsia="zh-CN"/>
        </w:rPr>
        <w:t>上升了0.05m</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其中</w:t>
      </w:r>
      <w:r>
        <w:rPr>
          <w:rFonts w:hint="eastAsia" w:eastAsia="仿宋" w:cs="Times New Roman"/>
          <w:sz w:val="30"/>
          <w:szCs w:val="30"/>
          <w:lang w:val="en-US" w:eastAsia="zh-CN"/>
        </w:rPr>
        <w:t>，水位</w:t>
      </w:r>
      <w:r>
        <w:rPr>
          <w:rFonts w:hint="default" w:ascii="Times New Roman" w:hAnsi="Times New Roman" w:eastAsia="仿宋" w:cs="Times New Roman"/>
          <w:sz w:val="30"/>
          <w:szCs w:val="30"/>
        </w:rPr>
        <w:t>上升</w:t>
      </w:r>
      <w:r>
        <w:rPr>
          <w:rFonts w:hint="eastAsia" w:eastAsia="仿宋" w:cs="Times New Roman"/>
          <w:sz w:val="30"/>
          <w:szCs w:val="30"/>
          <w:lang w:val="en-US" w:eastAsia="zh-CN"/>
        </w:rPr>
        <w:t>的有</w:t>
      </w:r>
      <w:r>
        <w:rPr>
          <w:rFonts w:hint="default" w:ascii="Times New Roman" w:hAnsi="Times New Roman" w:eastAsia="仿宋" w:cs="Times New Roman"/>
          <w:sz w:val="30"/>
          <w:szCs w:val="30"/>
          <w:lang w:val="en-US" w:eastAsia="zh-CN"/>
        </w:rPr>
        <w:t>新密市</w:t>
      </w:r>
      <w:r>
        <w:rPr>
          <w:rFonts w:hint="eastAsia" w:eastAsia="仿宋" w:cs="Times New Roman"/>
          <w:sz w:val="30"/>
          <w:szCs w:val="30"/>
          <w:lang w:val="en-US" w:eastAsia="zh-CN"/>
        </w:rPr>
        <w:t>、</w:t>
      </w:r>
      <w:r>
        <w:rPr>
          <w:rFonts w:hint="default" w:ascii="Times New Roman" w:hAnsi="Times New Roman" w:eastAsia="仿宋" w:cs="Times New Roman"/>
          <w:sz w:val="30"/>
          <w:szCs w:val="30"/>
          <w:lang w:val="en-US" w:eastAsia="zh-CN"/>
        </w:rPr>
        <w:t>荥阳市</w:t>
      </w:r>
      <w:r>
        <w:rPr>
          <w:rFonts w:hint="eastAsia" w:eastAsia="仿宋" w:cs="Times New Roman"/>
          <w:sz w:val="30"/>
          <w:szCs w:val="30"/>
          <w:lang w:val="en-US" w:eastAsia="zh-CN"/>
        </w:rPr>
        <w:t>和郑州市区，水位下降的有新郑市、登封市、中牟县、航空港区和巩义市。</w:t>
      </w:r>
      <w:r>
        <w:rPr>
          <w:rFonts w:hint="default" w:ascii="Times New Roman" w:hAnsi="Times New Roman" w:eastAsia="仿宋" w:cs="Times New Roman"/>
          <w:sz w:val="30"/>
          <w:szCs w:val="30"/>
          <w:lang w:val="en-US" w:eastAsia="zh-CN"/>
        </w:rPr>
        <w:t>新郑</w:t>
      </w:r>
      <w:r>
        <w:rPr>
          <w:rFonts w:hint="default" w:ascii="Times New Roman" w:hAnsi="Times New Roman" w:eastAsia="仿宋" w:cs="Times New Roman"/>
          <w:sz w:val="30"/>
          <w:szCs w:val="30"/>
        </w:rPr>
        <w:t>市浅层地下水</w:t>
      </w:r>
      <w:r>
        <w:rPr>
          <w:rFonts w:hint="eastAsia" w:eastAsia="仿宋" w:cs="Times New Roman"/>
          <w:sz w:val="30"/>
          <w:szCs w:val="30"/>
          <w:lang w:val="en-US" w:eastAsia="zh-CN"/>
        </w:rPr>
        <w:t>平均水位</w:t>
      </w:r>
      <w:r>
        <w:rPr>
          <w:rFonts w:hint="default" w:ascii="Times New Roman" w:hAnsi="Times New Roman" w:eastAsia="仿宋" w:cs="Times New Roman"/>
          <w:sz w:val="30"/>
          <w:szCs w:val="30"/>
        </w:rPr>
        <w:t>下降最大，达</w:t>
      </w:r>
      <w:r>
        <w:rPr>
          <w:rFonts w:hint="default" w:ascii="Times New Roman" w:hAnsi="Times New Roman" w:eastAsia="仿宋" w:cs="Times New Roman"/>
          <w:sz w:val="30"/>
          <w:szCs w:val="30"/>
          <w:lang w:val="en-US" w:eastAsia="zh-CN"/>
        </w:rPr>
        <w:t>1.5</w:t>
      </w:r>
      <w:r>
        <w:rPr>
          <w:rFonts w:hint="eastAsia" w:eastAsia="仿宋" w:cs="Times New Roman"/>
          <w:sz w:val="30"/>
          <w:szCs w:val="30"/>
          <w:lang w:val="en-US" w:eastAsia="zh-CN"/>
        </w:rPr>
        <w:t>6m</w:t>
      </w:r>
      <w:r>
        <w:rPr>
          <w:rFonts w:hint="default" w:ascii="Times New Roman" w:hAnsi="Times New Roman" w:eastAsia="仿宋" w:cs="Times New Roman"/>
          <w:sz w:val="30"/>
          <w:szCs w:val="30"/>
        </w:rPr>
        <w:t>。详见表7。</w:t>
      </w:r>
    </w:p>
    <w:p>
      <w:pPr>
        <w:pStyle w:val="4"/>
        <w:spacing w:before="0" w:after="0" w:line="360" w:lineRule="auto"/>
        <w:jc w:val="left"/>
        <w:rPr>
          <w:rFonts w:hint="default" w:ascii="Times New Roman" w:hAnsi="Times New Roman" w:cs="Times New Roman"/>
          <w:b w:val="0"/>
        </w:rPr>
      </w:pPr>
      <w:bookmarkStart w:id="15" w:name="_Toc28601"/>
      <w:r>
        <w:rPr>
          <w:rFonts w:hint="default" w:ascii="Times New Roman" w:hAnsi="Times New Roman" w:cs="Times New Roman"/>
          <w:b w:val="0"/>
        </w:rPr>
        <w:t>3.3 平原区浅层地下水埋深情况</w:t>
      </w:r>
      <w:bookmarkEnd w:id="15"/>
    </w:p>
    <w:p>
      <w:pPr>
        <w:spacing w:line="360" w:lineRule="auto"/>
        <w:ind w:firstLine="57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根据水资源分区划分，郑州市平原区面积为2724.5km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w:t>
      </w:r>
    </w:p>
    <w:p>
      <w:pPr>
        <w:spacing w:line="360" w:lineRule="auto"/>
        <w:ind w:firstLine="57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201</w:t>
      </w:r>
      <w:r>
        <w:rPr>
          <w:rFonts w:hint="default" w:ascii="Times New Roman" w:hAnsi="Times New Roman" w:eastAsia="仿宋" w:cs="Times New Roman"/>
          <w:sz w:val="30"/>
          <w:szCs w:val="30"/>
          <w:lang w:val="en-US" w:eastAsia="zh-CN"/>
        </w:rPr>
        <w:t>8</w:t>
      </w:r>
      <w:r>
        <w:rPr>
          <w:rFonts w:hint="default" w:ascii="Times New Roman" w:hAnsi="Times New Roman" w:eastAsia="仿宋" w:cs="Times New Roman"/>
          <w:sz w:val="30"/>
          <w:szCs w:val="30"/>
        </w:rPr>
        <w:t>年</w:t>
      </w:r>
      <w:r>
        <w:rPr>
          <w:rFonts w:hint="default" w:ascii="Times New Roman" w:hAnsi="Times New Roman" w:eastAsia="仿宋" w:cs="Times New Roman"/>
          <w:sz w:val="30"/>
          <w:szCs w:val="30"/>
          <w:lang w:val="en-US" w:eastAsia="zh-CN"/>
        </w:rPr>
        <w:t>年末平原区</w:t>
      </w:r>
      <w:r>
        <w:rPr>
          <w:rFonts w:hint="default" w:ascii="Times New Roman" w:hAnsi="Times New Roman" w:eastAsia="仿宋" w:cs="Times New Roman"/>
          <w:sz w:val="30"/>
          <w:szCs w:val="30"/>
        </w:rPr>
        <w:t>浅层地下水埋深在6～8</w:t>
      </w:r>
      <w:r>
        <w:rPr>
          <w:rFonts w:hint="default" w:ascii="Times New Roman" w:hAnsi="Times New Roman" w:eastAsia="仿宋" w:cs="Times New Roman"/>
          <w:sz w:val="30"/>
          <w:szCs w:val="30"/>
          <w:lang w:eastAsia="zh-CN"/>
        </w:rPr>
        <w:t>m</w:t>
      </w:r>
      <w:r>
        <w:rPr>
          <w:rFonts w:hint="default" w:ascii="Times New Roman" w:hAnsi="Times New Roman" w:eastAsia="仿宋" w:cs="Times New Roman"/>
          <w:sz w:val="30"/>
          <w:szCs w:val="30"/>
        </w:rPr>
        <w:t>的面积为</w:t>
      </w:r>
      <w:r>
        <w:rPr>
          <w:rFonts w:hint="default" w:ascii="Times New Roman" w:hAnsi="Times New Roman" w:eastAsia="仿宋" w:cs="Times New Roman"/>
          <w:sz w:val="30"/>
          <w:szCs w:val="30"/>
          <w:lang w:val="en-US" w:eastAsia="zh-CN"/>
        </w:rPr>
        <w:t>480.0</w:t>
      </w:r>
      <w:r>
        <w:rPr>
          <w:rFonts w:hint="default" w:ascii="Times New Roman" w:hAnsi="Times New Roman" w:eastAsia="仿宋" w:cs="Times New Roman"/>
          <w:sz w:val="30"/>
          <w:szCs w:val="30"/>
          <w:lang w:eastAsia="zh-CN"/>
        </w:rPr>
        <w:t>k㎡</w:t>
      </w:r>
      <w:r>
        <w:rPr>
          <w:rFonts w:hint="default" w:ascii="Times New Roman" w:hAnsi="Times New Roman" w:eastAsia="仿宋" w:cs="Times New Roman"/>
          <w:sz w:val="30"/>
          <w:szCs w:val="30"/>
        </w:rPr>
        <w:t>，占总面积的</w:t>
      </w:r>
      <w:r>
        <w:rPr>
          <w:rFonts w:hint="default" w:ascii="Times New Roman" w:hAnsi="Times New Roman" w:eastAsia="仿宋" w:cs="Times New Roman"/>
          <w:sz w:val="30"/>
          <w:szCs w:val="30"/>
          <w:lang w:val="en-US" w:eastAsia="zh-CN"/>
        </w:rPr>
        <w:t>17.6</w:t>
      </w:r>
      <w:r>
        <w:rPr>
          <w:rFonts w:hint="default" w:ascii="Times New Roman" w:hAnsi="Times New Roman" w:eastAsia="仿宋" w:cs="Times New Roman"/>
          <w:sz w:val="30"/>
          <w:szCs w:val="30"/>
        </w:rPr>
        <w:t>%，比上年</w:t>
      </w:r>
      <w:r>
        <w:rPr>
          <w:rFonts w:hint="default" w:ascii="Times New Roman" w:hAnsi="Times New Roman" w:eastAsia="仿宋" w:cs="Times New Roman"/>
          <w:sz w:val="30"/>
          <w:szCs w:val="30"/>
          <w:lang w:val="en-US" w:eastAsia="zh-CN"/>
        </w:rPr>
        <w:t>末减少150</w:t>
      </w:r>
      <w:r>
        <w:rPr>
          <w:rFonts w:hint="default" w:ascii="Times New Roman" w:hAnsi="Times New Roman" w:eastAsia="仿宋" w:cs="Times New Roman"/>
          <w:sz w:val="30"/>
          <w:szCs w:val="30"/>
          <w:lang w:eastAsia="zh-CN"/>
        </w:rPr>
        <w:t>k㎡</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减</w:t>
      </w:r>
      <w:r>
        <w:rPr>
          <w:rFonts w:hint="default" w:ascii="Times New Roman" w:hAnsi="Times New Roman" w:eastAsia="仿宋" w:cs="Times New Roman"/>
          <w:sz w:val="30"/>
          <w:szCs w:val="30"/>
        </w:rPr>
        <w:t>幅</w:t>
      </w:r>
      <w:r>
        <w:rPr>
          <w:rFonts w:hint="default" w:ascii="Times New Roman" w:hAnsi="Times New Roman" w:eastAsia="仿宋" w:cs="Times New Roman"/>
          <w:sz w:val="30"/>
          <w:szCs w:val="30"/>
          <w:lang w:eastAsia="zh-CN"/>
        </w:rPr>
        <w:t>为</w:t>
      </w:r>
      <w:r>
        <w:rPr>
          <w:rFonts w:hint="default" w:ascii="Times New Roman" w:hAnsi="Times New Roman" w:eastAsia="仿宋" w:cs="Times New Roman"/>
          <w:sz w:val="30"/>
          <w:szCs w:val="30"/>
          <w:lang w:val="en-US" w:eastAsia="zh-CN"/>
        </w:rPr>
        <w:t>23.8</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埋深在8</w:t>
      </w:r>
      <w:r>
        <w:rPr>
          <w:rFonts w:hint="default" w:ascii="Times New Roman" w:hAnsi="Times New Roman" w:eastAsia="仿宋" w:cs="Times New Roman"/>
          <w:sz w:val="30"/>
          <w:szCs w:val="30"/>
          <w:lang w:val="en-US" w:eastAsia="zh-CN"/>
        </w:rPr>
        <w:t>m</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10m</w:t>
      </w:r>
      <w:r>
        <w:rPr>
          <w:rFonts w:hint="default" w:ascii="Times New Roman" w:hAnsi="Times New Roman" w:eastAsia="仿宋" w:cs="Times New Roman"/>
          <w:sz w:val="30"/>
          <w:szCs w:val="30"/>
          <w:lang w:eastAsia="zh-CN"/>
        </w:rPr>
        <w:t>是面积</w:t>
      </w:r>
      <w:r>
        <w:rPr>
          <w:rFonts w:hint="default" w:ascii="Times New Roman" w:hAnsi="Times New Roman" w:eastAsia="仿宋" w:cs="Times New Roman"/>
          <w:sz w:val="30"/>
          <w:szCs w:val="30"/>
        </w:rPr>
        <w:t>为</w:t>
      </w:r>
      <w:r>
        <w:rPr>
          <w:rFonts w:hint="default" w:ascii="Times New Roman" w:hAnsi="Times New Roman" w:eastAsia="仿宋" w:cs="Times New Roman"/>
          <w:sz w:val="30"/>
          <w:szCs w:val="30"/>
          <w:lang w:val="en-US" w:eastAsia="zh-CN"/>
        </w:rPr>
        <w:t>720.0</w:t>
      </w:r>
      <w:r>
        <w:rPr>
          <w:rFonts w:hint="default" w:ascii="Times New Roman" w:hAnsi="Times New Roman" w:eastAsia="仿宋" w:cs="Times New Roman"/>
          <w:sz w:val="30"/>
          <w:szCs w:val="30"/>
          <w:lang w:eastAsia="zh-CN"/>
        </w:rPr>
        <w:t>k㎡</w:t>
      </w:r>
      <w:r>
        <w:rPr>
          <w:rFonts w:hint="default" w:ascii="Times New Roman" w:hAnsi="Times New Roman" w:eastAsia="仿宋" w:cs="Times New Roman"/>
          <w:sz w:val="30"/>
          <w:szCs w:val="30"/>
        </w:rPr>
        <w:t>，占总面积</w:t>
      </w:r>
      <w:r>
        <w:rPr>
          <w:rFonts w:hint="default" w:ascii="Times New Roman" w:hAnsi="Times New Roman" w:eastAsia="仿宋" w:cs="Times New Roman"/>
          <w:sz w:val="30"/>
          <w:szCs w:val="30"/>
          <w:lang w:val="en-US" w:eastAsia="zh-CN"/>
        </w:rPr>
        <w:t>26.4</w:t>
      </w:r>
      <w:r>
        <w:rPr>
          <w:rFonts w:hint="default" w:ascii="Times New Roman" w:hAnsi="Times New Roman" w:eastAsia="仿宋" w:cs="Times New Roman"/>
          <w:sz w:val="30"/>
          <w:szCs w:val="30"/>
        </w:rPr>
        <w:t>％，比上年</w:t>
      </w:r>
      <w:r>
        <w:rPr>
          <w:rFonts w:hint="default" w:ascii="Times New Roman" w:hAnsi="Times New Roman" w:eastAsia="仿宋" w:cs="Times New Roman"/>
          <w:sz w:val="30"/>
          <w:szCs w:val="30"/>
          <w:lang w:val="en-US" w:eastAsia="zh-CN"/>
        </w:rPr>
        <w:t>减少112.5</w:t>
      </w:r>
      <w:r>
        <w:rPr>
          <w:rFonts w:hint="default" w:ascii="Times New Roman" w:hAnsi="Times New Roman" w:eastAsia="仿宋" w:cs="Times New Roman"/>
          <w:sz w:val="30"/>
          <w:szCs w:val="30"/>
          <w:lang w:eastAsia="zh-CN"/>
        </w:rPr>
        <w:t>k㎡</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减</w:t>
      </w:r>
      <w:r>
        <w:rPr>
          <w:rFonts w:hint="default" w:ascii="Times New Roman" w:hAnsi="Times New Roman" w:eastAsia="仿宋" w:cs="Times New Roman"/>
          <w:sz w:val="30"/>
          <w:szCs w:val="30"/>
        </w:rPr>
        <w:t>幅</w:t>
      </w:r>
      <w:r>
        <w:rPr>
          <w:rFonts w:hint="default" w:ascii="Times New Roman" w:hAnsi="Times New Roman" w:eastAsia="仿宋" w:cs="Times New Roman"/>
          <w:sz w:val="30"/>
          <w:szCs w:val="30"/>
          <w:lang w:eastAsia="zh-CN"/>
        </w:rPr>
        <w:t>为</w:t>
      </w:r>
      <w:r>
        <w:rPr>
          <w:rFonts w:hint="default" w:ascii="Times New Roman" w:hAnsi="Times New Roman" w:eastAsia="仿宋" w:cs="Times New Roman"/>
          <w:sz w:val="30"/>
          <w:szCs w:val="30"/>
          <w:lang w:val="en-US" w:eastAsia="zh-CN"/>
        </w:rPr>
        <w:t>13.5</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eastAsia="zh-CN"/>
        </w:rPr>
        <w:t>；</w:t>
      </w:r>
      <w:r>
        <w:rPr>
          <w:rFonts w:hint="default" w:ascii="Times New Roman" w:hAnsi="Times New Roman" w:eastAsia="仿宋" w:cs="Times New Roman"/>
          <w:sz w:val="30"/>
          <w:szCs w:val="30"/>
        </w:rPr>
        <w:t>埋深在</w:t>
      </w:r>
      <w:r>
        <w:rPr>
          <w:rFonts w:hint="default" w:ascii="Times New Roman" w:hAnsi="Times New Roman" w:eastAsia="仿宋" w:cs="Times New Roman"/>
          <w:sz w:val="30"/>
          <w:szCs w:val="30"/>
          <w:lang w:val="en-US" w:eastAsia="zh-CN"/>
        </w:rPr>
        <w:t>10m以上面积为1524.5k㎡，</w:t>
      </w:r>
      <w:r>
        <w:rPr>
          <w:rFonts w:hint="default" w:ascii="Times New Roman" w:hAnsi="Times New Roman" w:eastAsia="仿宋" w:cs="Times New Roman"/>
          <w:sz w:val="30"/>
          <w:szCs w:val="30"/>
        </w:rPr>
        <w:t>占总面积</w:t>
      </w:r>
      <w:r>
        <w:rPr>
          <w:rFonts w:hint="default" w:ascii="Times New Roman" w:hAnsi="Times New Roman" w:eastAsia="仿宋" w:cs="Times New Roman"/>
          <w:sz w:val="30"/>
          <w:szCs w:val="30"/>
          <w:lang w:val="en-US" w:eastAsia="zh-CN"/>
        </w:rPr>
        <w:t>56.0</w:t>
      </w:r>
      <w:r>
        <w:rPr>
          <w:rFonts w:hint="default" w:ascii="Times New Roman" w:hAnsi="Times New Roman" w:eastAsia="仿宋" w:cs="Times New Roman"/>
          <w:sz w:val="30"/>
          <w:szCs w:val="30"/>
        </w:rPr>
        <w:t>％，比上年</w:t>
      </w:r>
      <w:r>
        <w:rPr>
          <w:rFonts w:hint="default" w:ascii="Times New Roman" w:hAnsi="Times New Roman" w:eastAsia="仿宋" w:cs="Times New Roman"/>
          <w:sz w:val="30"/>
          <w:szCs w:val="30"/>
          <w:lang w:val="en-US" w:eastAsia="zh-CN"/>
        </w:rPr>
        <w:t>增加272.5</w:t>
      </w:r>
      <w:r>
        <w:rPr>
          <w:rFonts w:hint="default" w:ascii="Times New Roman" w:hAnsi="Times New Roman" w:eastAsia="仿宋" w:cs="Times New Roman"/>
          <w:sz w:val="30"/>
          <w:szCs w:val="30"/>
          <w:lang w:eastAsia="zh-CN"/>
        </w:rPr>
        <w:t>k㎡</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en-US" w:eastAsia="zh-CN"/>
        </w:rPr>
        <w:t>增</w:t>
      </w:r>
      <w:r>
        <w:rPr>
          <w:rFonts w:hint="default" w:ascii="Times New Roman" w:hAnsi="Times New Roman" w:eastAsia="仿宋" w:cs="Times New Roman"/>
          <w:sz w:val="30"/>
          <w:szCs w:val="30"/>
        </w:rPr>
        <w:t>幅</w:t>
      </w:r>
      <w:r>
        <w:rPr>
          <w:rFonts w:hint="default" w:ascii="Times New Roman" w:hAnsi="Times New Roman" w:eastAsia="仿宋" w:cs="Times New Roman"/>
          <w:sz w:val="30"/>
          <w:szCs w:val="30"/>
          <w:lang w:eastAsia="zh-CN"/>
        </w:rPr>
        <w:t>为</w:t>
      </w:r>
      <w:r>
        <w:rPr>
          <w:rFonts w:hint="default" w:ascii="Times New Roman" w:hAnsi="Times New Roman" w:eastAsia="仿宋" w:cs="Times New Roman"/>
          <w:sz w:val="30"/>
          <w:szCs w:val="30"/>
          <w:lang w:val="en-US" w:eastAsia="zh-CN"/>
        </w:rPr>
        <w:t>21.8</w:t>
      </w:r>
      <w:r>
        <w:rPr>
          <w:rFonts w:hint="default" w:ascii="Times New Roman" w:hAnsi="Times New Roman" w:eastAsia="仿宋" w:cs="Times New Roman"/>
          <w:sz w:val="30"/>
          <w:szCs w:val="30"/>
        </w:rPr>
        <w:t>%。详见表</w:t>
      </w:r>
      <w:r>
        <w:rPr>
          <w:rFonts w:hint="default" w:ascii="Times New Roman" w:hAnsi="Times New Roman" w:eastAsia="仿宋" w:cs="Times New Roman"/>
          <w:sz w:val="30"/>
          <w:szCs w:val="30"/>
          <w:lang w:val="en-US" w:eastAsia="zh-CN"/>
        </w:rPr>
        <w:t>8</w:t>
      </w:r>
      <w:r>
        <w:rPr>
          <w:rFonts w:hint="default" w:ascii="Times New Roman" w:hAnsi="Times New Roman" w:eastAsia="仿宋" w:cs="Times New Roman"/>
          <w:sz w:val="30"/>
          <w:szCs w:val="30"/>
        </w:rPr>
        <w:t>、图4。</w:t>
      </w:r>
    </w:p>
    <w:p>
      <w:pPr>
        <w:pStyle w:val="2"/>
        <w:ind w:left="0" w:leftChars="0" w:firstLine="0" w:firstLineChars="0"/>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表7</w:t>
      </w:r>
      <w:r>
        <w:rPr>
          <w:rFonts w:hint="eastAsia" w:ascii="Times New Roman" w:hAnsi="Times New Roman" w:eastAsia="黑体" w:cs="Times New Roman"/>
          <w:bCs/>
          <w:sz w:val="28"/>
          <w:szCs w:val="28"/>
          <w:lang w:val="en-US" w:eastAsia="zh-CN"/>
        </w:rPr>
        <w:t xml:space="preserve">  </w:t>
      </w:r>
      <w:r>
        <w:rPr>
          <w:rFonts w:hint="default" w:ascii="Times New Roman" w:hAnsi="Times New Roman" w:eastAsia="黑体" w:cs="Times New Roman"/>
          <w:bCs/>
          <w:sz w:val="28"/>
          <w:szCs w:val="28"/>
        </w:rPr>
        <w:t>地下水开采量对比与浅层地下水水位变化表</w:t>
      </w:r>
    </w:p>
    <w:p>
      <w:pPr>
        <w:pStyle w:val="2"/>
        <w:ind w:left="0" w:leftChars="0" w:firstLine="0" w:firstLineChars="0"/>
        <w:jc w:val="right"/>
        <w:rPr>
          <w:rFonts w:hint="default"/>
        </w:rPr>
      </w:pPr>
      <w:r>
        <w:rPr>
          <w:rFonts w:hint="eastAsia" w:eastAsia="黑体" w:cs="Times New Roman"/>
          <w:sz w:val="24"/>
          <w:lang w:val="en-US" w:eastAsia="zh-CN"/>
        </w:rPr>
        <w:t>水</w:t>
      </w:r>
      <w:r>
        <w:rPr>
          <w:rFonts w:hint="default" w:ascii="Times New Roman" w:hAnsi="Times New Roman" w:eastAsia="黑体" w:cs="Times New Roman"/>
          <w:sz w:val="24"/>
        </w:rPr>
        <w:t>量单位：亿m</w:t>
      </w:r>
      <w:r>
        <w:rPr>
          <w:rFonts w:hint="default" w:ascii="Times New Roman" w:hAnsi="Times New Roman" w:eastAsia="黑体" w:cs="Times New Roman"/>
          <w:sz w:val="24"/>
          <w:vertAlign w:val="superscript"/>
        </w:rPr>
        <w:t>3</w:t>
      </w:r>
    </w:p>
    <w:tbl>
      <w:tblPr>
        <w:tblStyle w:val="23"/>
        <w:tblW w:w="9267" w:type="dxa"/>
        <w:jc w:val="center"/>
        <w:tblInd w:w="228" w:type="dxa"/>
        <w:tblLayout w:type="fixed"/>
        <w:tblCellMar>
          <w:top w:w="0" w:type="dxa"/>
          <w:left w:w="0" w:type="dxa"/>
          <w:bottom w:w="0" w:type="dxa"/>
          <w:right w:w="0" w:type="dxa"/>
        </w:tblCellMar>
      </w:tblPr>
      <w:tblGrid>
        <w:gridCol w:w="1562"/>
        <w:gridCol w:w="1907"/>
        <w:gridCol w:w="1872"/>
        <w:gridCol w:w="2060"/>
        <w:gridCol w:w="1866"/>
      </w:tblGrid>
      <w:tr>
        <w:tblPrEx>
          <w:tblLayout w:type="fixed"/>
          <w:tblCellMar>
            <w:top w:w="0" w:type="dxa"/>
            <w:left w:w="0" w:type="dxa"/>
            <w:bottom w:w="0" w:type="dxa"/>
            <w:right w:w="0" w:type="dxa"/>
          </w:tblCellMar>
        </w:tblPrEx>
        <w:trPr>
          <w:trHeight w:val="411" w:hRule="atLeast"/>
          <w:jc w:val="center"/>
        </w:trPr>
        <w:tc>
          <w:tcPr>
            <w:tcW w:w="1562" w:type="dxa"/>
            <w:tcBorders>
              <w:top w:val="single" w:color="auto" w:sz="12" w:space="0"/>
              <w:bottom w:val="single" w:color="auto" w:sz="12" w:space="0"/>
              <w:right w:val="single" w:color="auto" w:sz="4" w:space="0"/>
              <w:tl2br w:val="single" w:color="auto" w:sz="4" w:space="0"/>
            </w:tcBorders>
            <w:tcMar>
              <w:top w:w="20" w:type="dxa"/>
              <w:left w:w="20" w:type="dxa"/>
              <w:bottom w:w="0" w:type="dxa"/>
              <w:right w:w="20" w:type="dxa"/>
            </w:tcMar>
            <w:vAlign w:val="center"/>
          </w:tcPr>
          <w:p>
            <w:pPr>
              <w:jc w:val="right"/>
              <w:rPr>
                <w:rFonts w:hint="default" w:ascii="Times New Roman" w:hAnsi="Times New Roman" w:eastAsia="仿宋" w:cs="Times New Roman"/>
                <w:sz w:val="24"/>
              </w:rPr>
            </w:pPr>
            <w:r>
              <w:rPr>
                <w:rFonts w:hint="default" w:ascii="Times New Roman" w:hAnsi="Times New Roman" w:eastAsia="仿宋" w:cs="Times New Roman"/>
                <w:sz w:val="24"/>
              </w:rPr>
              <w:t>项目</w:t>
            </w:r>
          </w:p>
          <w:p>
            <w:pPr>
              <w:ind w:firstLine="120" w:firstLineChars="50"/>
              <w:jc w:val="left"/>
              <w:rPr>
                <w:rFonts w:hint="eastAsia" w:ascii="Times New Roman" w:hAnsi="Times New Roman" w:eastAsia="仿宋" w:cs="Times New Roman"/>
                <w:sz w:val="24"/>
                <w:lang w:eastAsia="zh-CN"/>
              </w:rPr>
            </w:pPr>
            <w:r>
              <w:rPr>
                <w:rFonts w:hint="eastAsia" w:eastAsia="仿宋" w:cs="Times New Roman"/>
                <w:sz w:val="24"/>
                <w:lang w:val="en-US" w:eastAsia="zh-CN"/>
              </w:rPr>
              <w:t>分区</w:t>
            </w:r>
          </w:p>
        </w:tc>
        <w:tc>
          <w:tcPr>
            <w:tcW w:w="1907" w:type="dxa"/>
            <w:tcBorders>
              <w:top w:val="single" w:color="auto" w:sz="12" w:space="0"/>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lang w:eastAsia="zh-CN"/>
              </w:rPr>
              <w:t>2018</w:t>
            </w:r>
            <w:r>
              <w:rPr>
                <w:rFonts w:hint="default" w:ascii="Times New Roman" w:hAnsi="Times New Roman" w:eastAsia="仿宋" w:cs="Times New Roman"/>
                <w:sz w:val="24"/>
              </w:rPr>
              <w:t>年</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开采量</w:t>
            </w:r>
          </w:p>
        </w:tc>
        <w:tc>
          <w:tcPr>
            <w:tcW w:w="1872" w:type="dxa"/>
            <w:tcBorders>
              <w:top w:val="single" w:color="auto" w:sz="12" w:space="0"/>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201</w:t>
            </w:r>
            <w:r>
              <w:rPr>
                <w:rFonts w:hint="default" w:ascii="Times New Roman" w:hAnsi="Times New Roman" w:eastAsia="仿宋" w:cs="Times New Roman"/>
                <w:sz w:val="24"/>
                <w:lang w:val="en-US" w:eastAsia="zh-CN"/>
              </w:rPr>
              <w:t>7</w:t>
            </w:r>
            <w:r>
              <w:rPr>
                <w:rFonts w:hint="default" w:ascii="Times New Roman" w:hAnsi="Times New Roman" w:eastAsia="仿宋" w:cs="Times New Roman"/>
                <w:sz w:val="24"/>
              </w:rPr>
              <w:t>年</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开采量</w:t>
            </w:r>
          </w:p>
        </w:tc>
        <w:tc>
          <w:tcPr>
            <w:tcW w:w="2060" w:type="dxa"/>
            <w:tcBorders>
              <w:top w:val="single" w:color="auto" w:sz="12" w:space="0"/>
              <w:left w:val="nil"/>
              <w:bottom w:val="single" w:color="auto" w:sz="12" w:space="0"/>
              <w:right w:val="single" w:color="auto" w:sz="4"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比上年增减</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w:t>
            </w:r>
          </w:p>
        </w:tc>
        <w:tc>
          <w:tcPr>
            <w:tcW w:w="1866" w:type="dxa"/>
            <w:tcBorders>
              <w:top w:val="single" w:color="auto" w:sz="12" w:space="0"/>
              <w:left w:val="nil"/>
              <w:bottom w:val="single" w:color="auto" w:sz="12" w:space="0"/>
            </w:tcBorders>
            <w:tcMar>
              <w:top w:w="20" w:type="dxa"/>
              <w:left w:w="20" w:type="dxa"/>
              <w:bottom w:w="0" w:type="dxa"/>
              <w:right w:w="20" w:type="dxa"/>
            </w:tcMar>
            <w:vAlign w:val="center"/>
          </w:tcPr>
          <w:p>
            <w:pPr>
              <w:jc w:val="center"/>
              <w:rPr>
                <w:rFonts w:hint="default" w:ascii="Times New Roman" w:hAnsi="Times New Roman" w:eastAsia="仿宋" w:cs="Times New Roman"/>
                <w:sz w:val="24"/>
              </w:rPr>
            </w:pPr>
            <w:r>
              <w:rPr>
                <w:rFonts w:hint="eastAsia" w:eastAsia="仿宋" w:cs="Times New Roman"/>
                <w:sz w:val="24"/>
                <w:lang w:val="en-US" w:eastAsia="zh-CN"/>
              </w:rPr>
              <w:t>地下水</w:t>
            </w:r>
            <w:r>
              <w:rPr>
                <w:rFonts w:hint="default" w:ascii="Times New Roman" w:hAnsi="Times New Roman" w:eastAsia="仿宋" w:cs="Times New Roman"/>
                <w:sz w:val="24"/>
              </w:rPr>
              <w:t>水位</w:t>
            </w:r>
          </w:p>
          <w:p>
            <w:pPr>
              <w:jc w:val="center"/>
              <w:rPr>
                <w:rFonts w:hint="default" w:ascii="Times New Roman" w:hAnsi="Times New Roman" w:eastAsia="仿宋" w:cs="Times New Roman"/>
                <w:sz w:val="24"/>
              </w:rPr>
            </w:pPr>
            <w:r>
              <w:rPr>
                <w:rFonts w:hint="default" w:ascii="Times New Roman" w:hAnsi="Times New Roman" w:eastAsia="仿宋" w:cs="Times New Roman"/>
                <w:sz w:val="24"/>
              </w:rPr>
              <w:t>变化值（m）</w:t>
            </w:r>
          </w:p>
        </w:tc>
      </w:tr>
      <w:tr>
        <w:tblPrEx>
          <w:tblLayout w:type="fixed"/>
          <w:tblCellMar>
            <w:top w:w="0" w:type="dxa"/>
            <w:left w:w="0" w:type="dxa"/>
            <w:bottom w:w="0" w:type="dxa"/>
            <w:right w:w="0" w:type="dxa"/>
          </w:tblCellMar>
        </w:tblPrEx>
        <w:trPr>
          <w:trHeight w:val="411" w:hRule="atLeast"/>
          <w:jc w:val="center"/>
        </w:trPr>
        <w:tc>
          <w:tcPr>
            <w:tcW w:w="1562" w:type="dxa"/>
            <w:tcBorders>
              <w:top w:val="single" w:color="auto" w:sz="12" w:space="0"/>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新密市</w:t>
            </w:r>
          </w:p>
        </w:tc>
        <w:tc>
          <w:tcPr>
            <w:tcW w:w="1907"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0.8065</w:t>
            </w:r>
          </w:p>
        </w:tc>
        <w:tc>
          <w:tcPr>
            <w:tcW w:w="1872"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0.9832</w:t>
            </w:r>
          </w:p>
        </w:tc>
        <w:tc>
          <w:tcPr>
            <w:tcW w:w="2060" w:type="dxa"/>
            <w:tcBorders>
              <w:top w:val="single" w:color="auto" w:sz="12"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-18.0</w:t>
            </w:r>
          </w:p>
        </w:tc>
        <w:tc>
          <w:tcPr>
            <w:tcW w:w="1866" w:type="dxa"/>
            <w:tcBorders>
              <w:top w:val="single" w:color="auto" w:sz="12" w:space="0"/>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1.43</w:t>
            </w: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新郑市</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0.8240</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0.7552</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9.1</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-1.56</w:t>
            </w: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荥阳市</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0.8742</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0.9870</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-11.4</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0.19</w:t>
            </w: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登封市</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0.6673</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0.7326</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-8.9</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-0.26</w:t>
            </w: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中牟县</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1.3464</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1.6799</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-19.9</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-0.08</w:t>
            </w: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郑州市区</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0.6221</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0.7195</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-13.5</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0.50</w:t>
            </w: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航空港区</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0.8797</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0.7800</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12.8</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-0.09</w:t>
            </w: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上街区</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0.0180</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0.0201</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-10.4</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p>
        </w:tc>
      </w:tr>
      <w:tr>
        <w:tblPrEx>
          <w:tblLayout w:type="fixed"/>
          <w:tblCellMar>
            <w:top w:w="0" w:type="dxa"/>
            <w:left w:w="0" w:type="dxa"/>
            <w:bottom w:w="0" w:type="dxa"/>
            <w:right w:w="0" w:type="dxa"/>
          </w:tblCellMar>
        </w:tblPrEx>
        <w:trPr>
          <w:trHeight w:val="411" w:hRule="atLeast"/>
          <w:jc w:val="center"/>
        </w:trPr>
        <w:tc>
          <w:tcPr>
            <w:tcW w:w="1562" w:type="dxa"/>
            <w:tcBorders>
              <w:top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巩义市</w:t>
            </w:r>
          </w:p>
        </w:tc>
        <w:tc>
          <w:tcPr>
            <w:tcW w:w="1907"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0.9724</w:t>
            </w:r>
          </w:p>
        </w:tc>
        <w:tc>
          <w:tcPr>
            <w:tcW w:w="1872"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0.8012</w:t>
            </w:r>
          </w:p>
        </w:tc>
        <w:tc>
          <w:tcPr>
            <w:tcW w:w="2060" w:type="dxa"/>
            <w:tcBorders>
              <w:top w:val="nil"/>
              <w:left w:val="nil"/>
              <w:bottom w:val="single" w:color="auto" w:sz="4"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21.4</w:t>
            </w:r>
          </w:p>
        </w:tc>
        <w:tc>
          <w:tcPr>
            <w:tcW w:w="1866" w:type="dxa"/>
            <w:tcBorders>
              <w:top w:val="nil"/>
              <w:left w:val="nil"/>
              <w:bottom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-0.13</w:t>
            </w:r>
          </w:p>
        </w:tc>
      </w:tr>
      <w:tr>
        <w:tblPrEx>
          <w:tblLayout w:type="fixed"/>
          <w:tblCellMar>
            <w:top w:w="0" w:type="dxa"/>
            <w:left w:w="0" w:type="dxa"/>
            <w:bottom w:w="0" w:type="dxa"/>
            <w:right w:w="0" w:type="dxa"/>
          </w:tblCellMar>
        </w:tblPrEx>
        <w:trPr>
          <w:trHeight w:val="411" w:hRule="atLeast"/>
          <w:jc w:val="center"/>
        </w:trPr>
        <w:tc>
          <w:tcPr>
            <w:tcW w:w="1562" w:type="dxa"/>
            <w:tcBorders>
              <w:top w:val="single" w:color="auto" w:sz="4" w:space="0"/>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全市</w:t>
            </w:r>
          </w:p>
        </w:tc>
        <w:tc>
          <w:tcPr>
            <w:tcW w:w="1907" w:type="dxa"/>
            <w:tcBorders>
              <w:top w:val="single" w:color="auto" w:sz="4" w:space="0"/>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7.0107</w:t>
            </w:r>
          </w:p>
        </w:tc>
        <w:tc>
          <w:tcPr>
            <w:tcW w:w="1872" w:type="dxa"/>
            <w:tcBorders>
              <w:top w:val="single" w:color="auto" w:sz="4" w:space="0"/>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7.4587</w:t>
            </w:r>
          </w:p>
        </w:tc>
        <w:tc>
          <w:tcPr>
            <w:tcW w:w="2060" w:type="dxa"/>
            <w:tcBorders>
              <w:top w:val="single" w:color="auto" w:sz="4" w:space="0"/>
              <w:left w:val="nil"/>
              <w:bottom w:val="single" w:color="auto" w:sz="12" w:space="0"/>
              <w:right w:val="single" w:color="auto" w:sz="4"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-6.0</w:t>
            </w:r>
          </w:p>
        </w:tc>
        <w:tc>
          <w:tcPr>
            <w:tcW w:w="1866" w:type="dxa"/>
            <w:tcBorders>
              <w:top w:val="single" w:color="auto" w:sz="4" w:space="0"/>
              <w:left w:val="nil"/>
              <w:bottom w:val="single" w:color="auto" w:sz="12" w:space="0"/>
            </w:tcBorders>
            <w:tcMar>
              <w:top w:w="20" w:type="dxa"/>
              <w:left w:w="20" w:type="dxa"/>
              <w:bottom w:w="0" w:type="dxa"/>
              <w:right w:w="20"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w:t>
            </w:r>
            <w:r>
              <w:rPr>
                <w:rFonts w:hint="eastAsia" w:ascii="Times New Roman" w:hAnsi="Times New Roman" w:eastAsia="仿宋" w:cs="Times New Roman"/>
                <w:i w:val="0"/>
                <w:color w:val="000000"/>
                <w:kern w:val="0"/>
                <w:sz w:val="24"/>
                <w:szCs w:val="24"/>
                <w:u w:val="none"/>
                <w:lang w:val="en-US" w:eastAsia="zh-CN" w:bidi="ar"/>
              </w:rPr>
              <w:t>5</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仿宋" w:cs="Times New Roman"/>
          <w:sz w:val="24"/>
          <w:lang w:eastAsia="zh-CN"/>
        </w:rPr>
      </w:pPr>
      <w:r>
        <w:rPr>
          <w:rFonts w:hint="default" w:ascii="Times New Roman" w:hAnsi="Times New Roman" w:eastAsia="仿宋" w:cs="Times New Roman"/>
          <w:sz w:val="24"/>
        </w:rPr>
        <w:t>注：1、县市浅层地下水水位变化值为年初与年末的差值，采用区域内和周边县市临近的观测井计算。</w:t>
      </w:r>
      <w:r>
        <w:rPr>
          <w:rFonts w:hint="eastAsia" w:eastAsia="仿宋" w:cs="Times New Roman"/>
          <w:sz w:val="24"/>
          <w:lang w:val="en-US" w:eastAsia="zh-CN"/>
        </w:rPr>
        <w:t>2、水位变化值</w:t>
      </w:r>
      <w:r>
        <w:rPr>
          <w:rFonts w:hint="default" w:ascii="Times New Roman" w:hAnsi="Times New Roman" w:eastAsia="仿宋" w:cs="Times New Roman"/>
          <w:sz w:val="24"/>
        </w:rPr>
        <w:t>“＋”为升、“－”为降</w:t>
      </w:r>
      <w:r>
        <w:rPr>
          <w:rFonts w:hint="eastAsia" w:eastAsia="仿宋" w:cs="Times New Roman"/>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黑体" w:cs="Times New Roman"/>
          <w:bCs/>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黑体" w:cs="Times New Roman"/>
          <w:bCs/>
          <w:kern w:val="0"/>
          <w:sz w:val="28"/>
          <w:szCs w:val="28"/>
        </w:rPr>
      </w:pPr>
      <w:r>
        <w:rPr>
          <w:rFonts w:hint="default" w:ascii="Times New Roman" w:hAnsi="Times New Roman" w:eastAsia="黑体" w:cs="Times New Roman"/>
          <w:bCs/>
          <w:kern w:val="0"/>
          <w:sz w:val="28"/>
          <w:szCs w:val="28"/>
        </w:rPr>
        <w:t>表</w:t>
      </w:r>
      <w:r>
        <w:rPr>
          <w:rFonts w:hint="default" w:ascii="Times New Roman" w:hAnsi="Times New Roman" w:eastAsia="黑体" w:cs="Times New Roman"/>
          <w:bCs/>
          <w:kern w:val="0"/>
          <w:sz w:val="28"/>
          <w:szCs w:val="28"/>
          <w:lang w:val="en-US" w:eastAsia="zh-CN"/>
        </w:rPr>
        <w:t>8</w:t>
      </w:r>
      <w:r>
        <w:rPr>
          <w:rFonts w:hint="eastAsia" w:eastAsia="黑体" w:cs="Times New Roman"/>
          <w:bCs/>
          <w:kern w:val="0"/>
          <w:sz w:val="28"/>
          <w:szCs w:val="28"/>
          <w:lang w:val="en-US" w:eastAsia="zh-CN"/>
        </w:rPr>
        <w:t xml:space="preserve">  </w:t>
      </w:r>
      <w:r>
        <w:rPr>
          <w:rFonts w:hint="default" w:ascii="Times New Roman" w:hAnsi="Times New Roman" w:eastAsia="黑体" w:cs="Times New Roman"/>
          <w:bCs/>
          <w:kern w:val="0"/>
          <w:sz w:val="28"/>
          <w:szCs w:val="28"/>
          <w:lang w:eastAsia="zh-CN"/>
        </w:rPr>
        <w:t>2018</w:t>
      </w:r>
      <w:r>
        <w:rPr>
          <w:rFonts w:hint="default" w:ascii="Times New Roman" w:hAnsi="Times New Roman" w:eastAsia="黑体" w:cs="Times New Roman"/>
          <w:bCs/>
          <w:kern w:val="0"/>
          <w:sz w:val="28"/>
          <w:szCs w:val="28"/>
        </w:rPr>
        <w:t>年</w:t>
      </w:r>
      <w:r>
        <w:rPr>
          <w:rFonts w:hint="eastAsia" w:eastAsia="黑体" w:cs="Times New Roman"/>
          <w:bCs/>
          <w:kern w:val="0"/>
          <w:sz w:val="28"/>
          <w:szCs w:val="28"/>
          <w:lang w:val="en-US" w:eastAsia="zh-CN"/>
        </w:rPr>
        <w:t>平原区</w:t>
      </w:r>
      <w:r>
        <w:rPr>
          <w:rFonts w:hint="default" w:ascii="Times New Roman" w:hAnsi="Times New Roman" w:eastAsia="黑体" w:cs="Times New Roman"/>
          <w:bCs/>
          <w:kern w:val="0"/>
          <w:sz w:val="28"/>
          <w:szCs w:val="28"/>
        </w:rPr>
        <w:t>浅层地下水埋深分区面积表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rPr>
          <w:rFonts w:hint="default"/>
          <w:lang w:val="en-US"/>
        </w:rPr>
      </w:pPr>
      <w:r>
        <w:rPr>
          <w:rFonts w:hint="eastAsia" w:ascii="黑体" w:hAnsi="黑体" w:eastAsia="黑体" w:cs="黑体"/>
          <w:b w:val="0"/>
          <w:bCs w:val="0"/>
          <w:sz w:val="24"/>
          <w:lang w:val="en-US" w:eastAsia="zh-CN"/>
        </w:rPr>
        <w:t>面积单位：km</w:t>
      </w:r>
      <w:r>
        <w:rPr>
          <w:rFonts w:hint="eastAsia" w:ascii="黑体" w:hAnsi="黑体" w:eastAsia="黑体" w:cs="黑体"/>
          <w:b w:val="0"/>
          <w:bCs w:val="0"/>
          <w:sz w:val="24"/>
          <w:vertAlign w:val="superscript"/>
          <w:lang w:val="en-US" w:eastAsia="zh-CN"/>
        </w:rPr>
        <w:t>2</w:t>
      </w:r>
    </w:p>
    <w:tbl>
      <w:tblPr>
        <w:tblStyle w:val="23"/>
        <w:tblW w:w="9356" w:type="dxa"/>
        <w:jc w:val="center"/>
        <w:tblInd w:w="0" w:type="dxa"/>
        <w:tblLayout w:type="fixed"/>
        <w:tblCellMar>
          <w:top w:w="0" w:type="dxa"/>
          <w:left w:w="108" w:type="dxa"/>
          <w:bottom w:w="0" w:type="dxa"/>
          <w:right w:w="227" w:type="dxa"/>
        </w:tblCellMar>
      </w:tblPr>
      <w:tblGrid>
        <w:gridCol w:w="1289"/>
        <w:gridCol w:w="1600"/>
        <w:gridCol w:w="1261"/>
        <w:gridCol w:w="1319"/>
        <w:gridCol w:w="1218"/>
        <w:gridCol w:w="1369"/>
        <w:gridCol w:w="1300"/>
      </w:tblGrid>
      <w:tr>
        <w:tblPrEx>
          <w:tblLayout w:type="fixed"/>
          <w:tblCellMar>
            <w:top w:w="0" w:type="dxa"/>
            <w:left w:w="108" w:type="dxa"/>
            <w:bottom w:w="0" w:type="dxa"/>
            <w:right w:w="227" w:type="dxa"/>
          </w:tblCellMar>
        </w:tblPrEx>
        <w:trPr>
          <w:trHeight w:val="681" w:hRule="atLeast"/>
          <w:jc w:val="center"/>
        </w:trPr>
        <w:tc>
          <w:tcPr>
            <w:tcW w:w="2889" w:type="dxa"/>
            <w:gridSpan w:val="2"/>
            <w:tcBorders>
              <w:top w:val="single" w:color="auto" w:sz="12" w:space="0"/>
              <w:bottom w:val="single" w:color="auto" w:sz="12" w:space="0"/>
              <w:right w:val="single" w:color="auto" w:sz="4" w:space="0"/>
              <w:tl2br w:val="single" w:color="auto" w:sz="4" w:space="0"/>
            </w:tcBorders>
            <w:vAlign w:val="center"/>
          </w:tcPr>
          <w:p>
            <w:pPr>
              <w:jc w:val="right"/>
              <w:rPr>
                <w:rFonts w:hint="default" w:ascii="Times New Roman" w:hAnsi="Times New Roman" w:eastAsia="仿宋" w:cs="Times New Roman"/>
                <w:sz w:val="24"/>
              </w:rPr>
            </w:pPr>
            <w:r>
              <w:rPr>
                <w:rFonts w:hint="default" w:ascii="Times New Roman" w:hAnsi="Times New Roman" w:eastAsia="仿宋" w:cs="Times New Roman"/>
                <w:sz w:val="24"/>
              </w:rPr>
              <w:t>分区</w:t>
            </w:r>
          </w:p>
          <w:p>
            <w:pPr>
              <w:ind w:firstLine="240" w:firstLineChars="100"/>
              <w:jc w:val="left"/>
              <w:rPr>
                <w:rFonts w:hint="default" w:ascii="Times New Roman" w:hAnsi="Times New Roman" w:eastAsia="仿宋" w:cs="Times New Roman"/>
                <w:sz w:val="24"/>
              </w:rPr>
            </w:pPr>
            <w:r>
              <w:rPr>
                <w:rFonts w:hint="default" w:ascii="Times New Roman" w:hAnsi="Times New Roman" w:eastAsia="仿宋" w:cs="Times New Roman"/>
                <w:sz w:val="24"/>
              </w:rPr>
              <w:t>项目</w:t>
            </w:r>
          </w:p>
        </w:tc>
        <w:tc>
          <w:tcPr>
            <w:tcW w:w="1261" w:type="dxa"/>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6m以下</w:t>
            </w:r>
          </w:p>
        </w:tc>
        <w:tc>
          <w:tcPr>
            <w:tcW w:w="1319" w:type="dxa"/>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6～8m</w:t>
            </w:r>
          </w:p>
        </w:tc>
        <w:tc>
          <w:tcPr>
            <w:tcW w:w="1218" w:type="dxa"/>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8～10m</w:t>
            </w:r>
          </w:p>
        </w:tc>
        <w:tc>
          <w:tcPr>
            <w:tcW w:w="1369" w:type="dxa"/>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10m以上</w:t>
            </w:r>
          </w:p>
        </w:tc>
        <w:tc>
          <w:tcPr>
            <w:tcW w:w="1300" w:type="dxa"/>
            <w:tcBorders>
              <w:top w:val="single" w:color="auto" w:sz="12" w:space="0"/>
              <w:left w:val="nil"/>
              <w:bottom w:val="single" w:color="auto" w:sz="12"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合计</w:t>
            </w:r>
          </w:p>
        </w:tc>
      </w:tr>
      <w:tr>
        <w:tblPrEx>
          <w:tblLayout w:type="fixed"/>
          <w:tblCellMar>
            <w:top w:w="0" w:type="dxa"/>
            <w:left w:w="108" w:type="dxa"/>
            <w:bottom w:w="0" w:type="dxa"/>
            <w:right w:w="227" w:type="dxa"/>
          </w:tblCellMar>
        </w:tblPrEx>
        <w:trPr>
          <w:trHeight w:val="478" w:hRule="atLeast"/>
          <w:jc w:val="center"/>
        </w:trPr>
        <w:tc>
          <w:tcPr>
            <w:tcW w:w="1289" w:type="dxa"/>
            <w:vMerge w:val="restart"/>
            <w:tcBorders>
              <w:top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lang w:val="en-US"/>
              </w:rPr>
            </w:pPr>
            <w:r>
              <w:rPr>
                <w:rFonts w:hint="default" w:ascii="Times New Roman" w:hAnsi="Times New Roman" w:eastAsia="仿宋_GB2312" w:cs="Times New Roman"/>
                <w:i w:val="0"/>
                <w:color w:val="000000"/>
                <w:kern w:val="0"/>
                <w:sz w:val="24"/>
                <w:szCs w:val="24"/>
                <w:u w:val="none"/>
                <w:lang w:val="en-US" w:eastAsia="zh-CN" w:bidi="ar"/>
              </w:rPr>
              <w:t>2018年</w:t>
            </w:r>
          </w:p>
        </w:tc>
        <w:tc>
          <w:tcPr>
            <w:tcW w:w="1600"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年末面积</w:t>
            </w:r>
          </w:p>
        </w:tc>
        <w:tc>
          <w:tcPr>
            <w:tcW w:w="1261"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0</w:t>
            </w:r>
          </w:p>
        </w:tc>
        <w:tc>
          <w:tcPr>
            <w:tcW w:w="1319"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480</w:t>
            </w:r>
          </w:p>
        </w:tc>
        <w:tc>
          <w:tcPr>
            <w:tcW w:w="1218"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720</w:t>
            </w:r>
          </w:p>
        </w:tc>
        <w:tc>
          <w:tcPr>
            <w:tcW w:w="1369"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1524.5</w:t>
            </w:r>
          </w:p>
        </w:tc>
        <w:tc>
          <w:tcPr>
            <w:tcW w:w="1300" w:type="dxa"/>
            <w:tcBorders>
              <w:top w:val="single" w:color="auto" w:sz="12"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2724.5</w:t>
            </w:r>
          </w:p>
        </w:tc>
      </w:tr>
      <w:tr>
        <w:tblPrEx>
          <w:tblLayout w:type="fixed"/>
          <w:tblCellMar>
            <w:top w:w="0" w:type="dxa"/>
            <w:left w:w="108" w:type="dxa"/>
            <w:bottom w:w="0" w:type="dxa"/>
            <w:right w:w="227" w:type="dxa"/>
          </w:tblCellMar>
        </w:tblPrEx>
        <w:trPr>
          <w:trHeight w:val="441" w:hRule="atLeast"/>
          <w:jc w:val="center"/>
        </w:trPr>
        <w:tc>
          <w:tcPr>
            <w:tcW w:w="1289" w:type="dxa"/>
            <w:vMerge w:val="continue"/>
            <w:tcBorders>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 w:cs="Times New Roman"/>
                <w:color w:val="000000"/>
                <w:sz w:val="24"/>
                <w:lang w:val="en-US" w:eastAsia="zh-CN"/>
              </w:rPr>
              <w:t>占比(</w:t>
            </w:r>
            <w:r>
              <w:rPr>
                <w:rFonts w:hint="default" w:ascii="Times New Roman" w:hAnsi="Times New Roman" w:eastAsia="仿宋" w:cs="Times New Roman"/>
                <w:color w:val="000000"/>
                <w:sz w:val="24"/>
              </w:rPr>
              <w:t>%</w:t>
            </w:r>
            <w:r>
              <w:rPr>
                <w:rFonts w:hint="default" w:ascii="Times New Roman" w:hAnsi="Times New Roman" w:eastAsia="仿宋" w:cs="Times New Roman"/>
                <w:color w:val="000000"/>
                <w:sz w:val="24"/>
                <w:lang w:val="en-US" w:eastAsia="zh-CN"/>
              </w:rPr>
              <w:t>)</w:t>
            </w:r>
          </w:p>
        </w:tc>
        <w:tc>
          <w:tcPr>
            <w:tcW w:w="12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lang w:val="en-US"/>
              </w:rPr>
            </w:pPr>
            <w:r>
              <w:rPr>
                <w:rFonts w:hint="default" w:ascii="Times New Roman" w:hAnsi="Times New Roman" w:eastAsia="仿宋_GB2312" w:cs="Times New Roman"/>
                <w:i w:val="0"/>
                <w:color w:val="000000"/>
                <w:kern w:val="0"/>
                <w:sz w:val="24"/>
                <w:szCs w:val="24"/>
                <w:u w:val="none"/>
                <w:lang w:val="en-US" w:eastAsia="zh-CN" w:bidi="ar"/>
              </w:rPr>
              <w:t>0.0</w:t>
            </w:r>
          </w:p>
        </w:tc>
        <w:tc>
          <w:tcPr>
            <w:tcW w:w="13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17.6</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26.4</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56.0</w:t>
            </w:r>
          </w:p>
        </w:tc>
        <w:tc>
          <w:tcPr>
            <w:tcW w:w="1300"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100.0</w:t>
            </w:r>
          </w:p>
        </w:tc>
      </w:tr>
      <w:tr>
        <w:tblPrEx>
          <w:tblLayout w:type="fixed"/>
          <w:tblCellMar>
            <w:top w:w="0" w:type="dxa"/>
            <w:left w:w="108" w:type="dxa"/>
            <w:bottom w:w="0" w:type="dxa"/>
            <w:right w:w="227" w:type="dxa"/>
          </w:tblCellMar>
        </w:tblPrEx>
        <w:trPr>
          <w:trHeight w:val="441" w:hRule="atLeast"/>
          <w:jc w:val="center"/>
        </w:trPr>
        <w:tc>
          <w:tcPr>
            <w:tcW w:w="1289" w:type="dxa"/>
            <w:vMerge w:val="restart"/>
            <w:tcBorders>
              <w:top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2017年</w:t>
            </w: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年末面积</w:t>
            </w:r>
          </w:p>
        </w:tc>
        <w:tc>
          <w:tcPr>
            <w:tcW w:w="12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10</w:t>
            </w:r>
          </w:p>
        </w:tc>
        <w:tc>
          <w:tcPr>
            <w:tcW w:w="13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630</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832.5</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1252</w:t>
            </w:r>
          </w:p>
        </w:tc>
        <w:tc>
          <w:tcPr>
            <w:tcW w:w="1300"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2724.5</w:t>
            </w:r>
          </w:p>
        </w:tc>
      </w:tr>
      <w:tr>
        <w:tblPrEx>
          <w:tblLayout w:type="fixed"/>
          <w:tblCellMar>
            <w:top w:w="0" w:type="dxa"/>
            <w:left w:w="108" w:type="dxa"/>
            <w:bottom w:w="0" w:type="dxa"/>
            <w:right w:w="227" w:type="dxa"/>
          </w:tblCellMar>
        </w:tblPrEx>
        <w:trPr>
          <w:trHeight w:val="441" w:hRule="atLeast"/>
          <w:jc w:val="center"/>
        </w:trPr>
        <w:tc>
          <w:tcPr>
            <w:tcW w:w="1289" w:type="dxa"/>
            <w:vMerge w:val="continue"/>
            <w:tcBorders>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p>
        </w:tc>
        <w:tc>
          <w:tcPr>
            <w:tcW w:w="16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 w:cs="Times New Roman"/>
                <w:color w:val="000000"/>
                <w:sz w:val="24"/>
                <w:lang w:val="en-US" w:eastAsia="zh-CN"/>
              </w:rPr>
              <w:t>占比(</w:t>
            </w:r>
            <w:r>
              <w:rPr>
                <w:rFonts w:hint="default" w:ascii="Times New Roman" w:hAnsi="Times New Roman" w:eastAsia="仿宋" w:cs="Times New Roman"/>
                <w:color w:val="000000"/>
                <w:sz w:val="24"/>
              </w:rPr>
              <w:t>%</w:t>
            </w:r>
            <w:r>
              <w:rPr>
                <w:rFonts w:hint="default" w:ascii="Times New Roman" w:hAnsi="Times New Roman" w:eastAsia="仿宋" w:cs="Times New Roman"/>
                <w:color w:val="000000"/>
                <w:sz w:val="24"/>
                <w:lang w:val="en-US" w:eastAsia="zh-CN"/>
              </w:rPr>
              <w:t>)</w:t>
            </w:r>
          </w:p>
        </w:tc>
        <w:tc>
          <w:tcPr>
            <w:tcW w:w="12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0.4</w:t>
            </w:r>
          </w:p>
        </w:tc>
        <w:tc>
          <w:tcPr>
            <w:tcW w:w="13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23.1</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30.6</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lang w:val="en-US"/>
              </w:rPr>
            </w:pPr>
            <w:r>
              <w:rPr>
                <w:rFonts w:hint="default" w:ascii="Times New Roman" w:hAnsi="Times New Roman" w:eastAsia="仿宋_GB2312" w:cs="Times New Roman"/>
                <w:i w:val="0"/>
                <w:color w:val="000000"/>
                <w:kern w:val="0"/>
                <w:sz w:val="24"/>
                <w:szCs w:val="24"/>
                <w:u w:val="none"/>
                <w:lang w:val="en-US" w:eastAsia="zh-CN" w:bidi="ar"/>
              </w:rPr>
              <w:t>46.0</w:t>
            </w:r>
          </w:p>
        </w:tc>
        <w:tc>
          <w:tcPr>
            <w:tcW w:w="1300"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100.0</w:t>
            </w:r>
          </w:p>
        </w:tc>
      </w:tr>
      <w:tr>
        <w:tblPrEx>
          <w:tblLayout w:type="fixed"/>
          <w:tblCellMar>
            <w:top w:w="0" w:type="dxa"/>
            <w:left w:w="108" w:type="dxa"/>
            <w:bottom w:w="0" w:type="dxa"/>
            <w:right w:w="227" w:type="dxa"/>
          </w:tblCellMar>
        </w:tblPrEx>
        <w:trPr>
          <w:trHeight w:val="441" w:hRule="atLeast"/>
          <w:jc w:val="center"/>
        </w:trPr>
        <w:tc>
          <w:tcPr>
            <w:tcW w:w="2889" w:type="dxa"/>
            <w:gridSpan w:val="2"/>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同比增减面积</w:t>
            </w:r>
          </w:p>
        </w:tc>
        <w:tc>
          <w:tcPr>
            <w:tcW w:w="12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-10</w:t>
            </w:r>
          </w:p>
        </w:tc>
        <w:tc>
          <w:tcPr>
            <w:tcW w:w="13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-150</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-112.5</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272.5</w:t>
            </w:r>
          </w:p>
        </w:tc>
        <w:tc>
          <w:tcPr>
            <w:tcW w:w="1300"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仿宋" w:cs="Times New Roman"/>
                <w:sz w:val="24"/>
              </w:rPr>
            </w:pPr>
          </w:p>
        </w:tc>
      </w:tr>
      <w:tr>
        <w:tblPrEx>
          <w:tblLayout w:type="fixed"/>
          <w:tblCellMar>
            <w:top w:w="0" w:type="dxa"/>
            <w:left w:w="108" w:type="dxa"/>
            <w:bottom w:w="0" w:type="dxa"/>
            <w:right w:w="227" w:type="dxa"/>
          </w:tblCellMar>
        </w:tblPrEx>
        <w:trPr>
          <w:trHeight w:val="497" w:hRule="atLeast"/>
          <w:jc w:val="center"/>
        </w:trPr>
        <w:tc>
          <w:tcPr>
            <w:tcW w:w="2889" w:type="dxa"/>
            <w:gridSpan w:val="2"/>
            <w:tcBorders>
              <w:top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比上年增减</w:t>
            </w:r>
            <w:r>
              <w:rPr>
                <w:rFonts w:hint="default" w:ascii="Times New Roman" w:hAnsi="Times New Roman" w:eastAsia="仿宋" w:cs="Times New Roman"/>
                <w:color w:val="000000"/>
                <w:sz w:val="24"/>
                <w:lang w:val="en-US" w:eastAsia="zh-CN"/>
              </w:rPr>
              <w:t>(</w:t>
            </w:r>
            <w:r>
              <w:rPr>
                <w:rFonts w:hint="default" w:ascii="Times New Roman" w:hAnsi="Times New Roman" w:eastAsia="仿宋" w:cs="Times New Roman"/>
                <w:color w:val="000000"/>
                <w:sz w:val="24"/>
              </w:rPr>
              <w:t>%</w:t>
            </w:r>
            <w:r>
              <w:rPr>
                <w:rFonts w:hint="default" w:ascii="Times New Roman" w:hAnsi="Times New Roman" w:eastAsia="仿宋" w:cs="Times New Roman"/>
                <w:color w:val="000000"/>
                <w:sz w:val="24"/>
                <w:lang w:val="en-US" w:eastAsia="zh-CN"/>
              </w:rPr>
              <w:t>)</w:t>
            </w:r>
          </w:p>
        </w:tc>
        <w:tc>
          <w:tcPr>
            <w:tcW w:w="1261"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-100</w:t>
            </w:r>
          </w:p>
        </w:tc>
        <w:tc>
          <w:tcPr>
            <w:tcW w:w="1319"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-23.8</w:t>
            </w:r>
          </w:p>
        </w:tc>
        <w:tc>
          <w:tcPr>
            <w:tcW w:w="1218"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-13.5</w:t>
            </w:r>
          </w:p>
        </w:tc>
        <w:tc>
          <w:tcPr>
            <w:tcW w:w="1369"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sz w:val="24"/>
              </w:rPr>
            </w:pPr>
            <w:r>
              <w:rPr>
                <w:rFonts w:hint="default" w:ascii="Times New Roman" w:hAnsi="Times New Roman" w:eastAsia="仿宋_GB2312" w:cs="Times New Roman"/>
                <w:i w:val="0"/>
                <w:color w:val="000000"/>
                <w:kern w:val="0"/>
                <w:sz w:val="24"/>
                <w:szCs w:val="24"/>
                <w:u w:val="none"/>
                <w:lang w:val="en-US" w:eastAsia="zh-CN" w:bidi="ar"/>
              </w:rPr>
              <w:t>21.8</w:t>
            </w:r>
          </w:p>
        </w:tc>
        <w:tc>
          <w:tcPr>
            <w:tcW w:w="1300" w:type="dxa"/>
            <w:tcBorders>
              <w:top w:val="single" w:color="auto" w:sz="4" w:space="0"/>
              <w:left w:val="single" w:color="auto" w:sz="4" w:space="0"/>
              <w:bottom w:val="single" w:color="auto" w:sz="12" w:space="0"/>
            </w:tcBorders>
            <w:vAlign w:val="center"/>
          </w:tcPr>
          <w:p>
            <w:pPr>
              <w:jc w:val="center"/>
              <w:rPr>
                <w:rFonts w:hint="default" w:ascii="Times New Roman" w:hAnsi="Times New Roman" w:eastAsia="仿宋" w:cs="Times New Roman"/>
                <w:sz w:val="24"/>
              </w:rPr>
            </w:pPr>
          </w:p>
        </w:tc>
      </w:tr>
    </w:tbl>
    <w:p>
      <w:pPr>
        <w:rPr>
          <w:rFonts w:hint="default" w:ascii="Times New Roman" w:hAnsi="Times New Roman" w:eastAsia="仿宋" w:cs="Times New Roman"/>
        </w:rPr>
      </w:pPr>
    </w:p>
    <w:p>
      <w:pPr>
        <w:spacing w:line="360" w:lineRule="auto"/>
        <w:ind w:firstLine="57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2018年</w:t>
      </w:r>
      <w:r>
        <w:rPr>
          <w:rFonts w:hint="default" w:ascii="Times New Roman" w:hAnsi="Times New Roman" w:eastAsia="仿宋" w:cs="Times New Roman"/>
          <w:sz w:val="30"/>
          <w:szCs w:val="30"/>
          <w:lang w:val="en-US" w:eastAsia="zh-CN"/>
        </w:rPr>
        <w:t>郑州市</w:t>
      </w:r>
      <w:r>
        <w:rPr>
          <w:rFonts w:hint="default" w:ascii="Times New Roman" w:hAnsi="Times New Roman" w:eastAsia="仿宋" w:cs="Times New Roman"/>
          <w:sz w:val="30"/>
          <w:szCs w:val="30"/>
          <w:lang w:eastAsia="zh-CN"/>
        </w:rPr>
        <w:t>平原区浅层地下水埋深</w:t>
      </w:r>
      <w:r>
        <w:rPr>
          <w:rFonts w:hint="default" w:ascii="Times New Roman" w:hAnsi="Times New Roman" w:eastAsia="仿宋" w:cs="Times New Roman"/>
          <w:sz w:val="30"/>
          <w:szCs w:val="30"/>
          <w:lang w:val="en-US" w:eastAsia="zh-CN"/>
        </w:rPr>
        <w:t>年末</w:t>
      </w:r>
      <w:r>
        <w:rPr>
          <w:rFonts w:hint="default" w:ascii="Times New Roman" w:hAnsi="Times New Roman" w:eastAsia="仿宋" w:cs="Times New Roman"/>
          <w:sz w:val="30"/>
          <w:szCs w:val="30"/>
          <w:lang w:eastAsia="zh-CN"/>
        </w:rPr>
        <w:t>减年初变幅在±0.5m以内为地下水稳定区，面积为854.5k㎡，占总面积的31.4%；年末减年初变幅大于0.5m以上的为地下水下降区，面积为1205.0k㎡，占44.2%，主要分布在新郑市东北部</w:t>
      </w:r>
      <w:r>
        <w:rPr>
          <w:rFonts w:hint="default" w:ascii="Times New Roman" w:hAnsi="Times New Roman" w:eastAsia="仿宋" w:cs="Times New Roman"/>
          <w:sz w:val="30"/>
          <w:szCs w:val="30"/>
          <w:lang w:val="en-US" w:eastAsia="zh-CN"/>
        </w:rPr>
        <w:t>和</w:t>
      </w:r>
      <w:r>
        <w:rPr>
          <w:rFonts w:hint="default" w:ascii="Times New Roman" w:hAnsi="Times New Roman" w:eastAsia="仿宋" w:cs="Times New Roman"/>
          <w:sz w:val="30"/>
          <w:szCs w:val="30"/>
          <w:lang w:eastAsia="zh-CN"/>
        </w:rPr>
        <w:t>中牟县</w:t>
      </w:r>
      <w:r>
        <w:rPr>
          <w:rFonts w:hint="default" w:ascii="Times New Roman" w:hAnsi="Times New Roman" w:eastAsia="仿宋" w:cs="Times New Roman"/>
          <w:sz w:val="30"/>
          <w:szCs w:val="30"/>
          <w:lang w:val="en-US" w:eastAsia="zh-CN"/>
        </w:rPr>
        <w:t>西南</w:t>
      </w:r>
      <w:r>
        <w:rPr>
          <w:rFonts w:hint="default" w:ascii="Times New Roman" w:hAnsi="Times New Roman" w:eastAsia="仿宋" w:cs="Times New Roman"/>
          <w:sz w:val="30"/>
          <w:szCs w:val="30"/>
          <w:lang w:eastAsia="zh-CN"/>
        </w:rPr>
        <w:t>部一带；年末减年初变幅在-0.5m以下的为上升区，面积为665.0k㎡，占总面积的24.4%，主要分布在新郑市南部、中牟县城区</w:t>
      </w:r>
      <w:r>
        <w:rPr>
          <w:rFonts w:hint="default" w:ascii="Times New Roman" w:hAnsi="Times New Roman" w:eastAsia="仿宋" w:cs="Times New Roman"/>
          <w:sz w:val="30"/>
          <w:szCs w:val="30"/>
          <w:lang w:val="en-US" w:eastAsia="zh-CN"/>
        </w:rPr>
        <w:t>以东</w:t>
      </w:r>
      <w:r>
        <w:rPr>
          <w:rFonts w:hint="default" w:ascii="Times New Roman" w:hAnsi="Times New Roman" w:eastAsia="仿宋" w:cs="Times New Roman"/>
          <w:sz w:val="30"/>
          <w:szCs w:val="30"/>
          <w:lang w:eastAsia="zh-CN"/>
        </w:rPr>
        <w:t>与郑州市区交界一带。</w:t>
      </w:r>
      <w:r>
        <w:rPr>
          <w:rFonts w:hint="default" w:ascii="Times New Roman" w:hAnsi="Times New Roman" w:eastAsia="仿宋" w:cs="Times New Roman"/>
          <w:sz w:val="30"/>
          <w:szCs w:val="30"/>
        </w:rPr>
        <w:t>详见表</w:t>
      </w:r>
      <w:r>
        <w:rPr>
          <w:rFonts w:hint="default" w:ascii="Times New Roman" w:hAnsi="Times New Roman" w:eastAsia="仿宋" w:cs="Times New Roman"/>
          <w:sz w:val="30"/>
          <w:szCs w:val="30"/>
          <w:lang w:val="en-US" w:eastAsia="zh-CN"/>
        </w:rPr>
        <w:t>9</w:t>
      </w:r>
      <w:r>
        <w:rPr>
          <w:rFonts w:hint="default" w:ascii="Times New Roman" w:hAnsi="Times New Roman" w:eastAsia="仿宋" w:cs="Times New Roman"/>
          <w:sz w:val="30"/>
          <w:szCs w:val="30"/>
        </w:rPr>
        <w:t>，图5。</w:t>
      </w:r>
    </w:p>
    <w:p>
      <w:pPr>
        <w:pStyle w:val="31"/>
        <w:widowControl w:val="0"/>
        <w:spacing w:before="0" w:beforeAutospacing="0" w:after="0" w:afterAutospacing="0"/>
        <w:textAlignment w:val="auto"/>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表</w:t>
      </w:r>
      <w:r>
        <w:rPr>
          <w:rFonts w:hint="default" w:ascii="Times New Roman" w:hAnsi="Times New Roman" w:eastAsia="黑体" w:cs="Times New Roman"/>
          <w:b w:val="0"/>
          <w:sz w:val="28"/>
          <w:szCs w:val="28"/>
          <w:lang w:val="en-US" w:eastAsia="zh-CN"/>
        </w:rPr>
        <w:t>9</w:t>
      </w:r>
      <w:r>
        <w:rPr>
          <w:rFonts w:hint="eastAsia" w:ascii="Times New Roman" w:hAnsi="Times New Roman" w:eastAsia="黑体" w:cs="Times New Roman"/>
          <w:b w:val="0"/>
          <w:sz w:val="28"/>
          <w:szCs w:val="28"/>
          <w:lang w:val="en-US" w:eastAsia="zh-CN"/>
        </w:rPr>
        <w:t xml:space="preserve">  </w:t>
      </w:r>
      <w:r>
        <w:rPr>
          <w:rFonts w:hint="default" w:ascii="Times New Roman" w:hAnsi="Times New Roman" w:eastAsia="黑体" w:cs="Times New Roman"/>
          <w:b w:val="0"/>
          <w:sz w:val="28"/>
          <w:szCs w:val="28"/>
          <w:lang w:eastAsia="zh-CN"/>
        </w:rPr>
        <w:t>2018</w:t>
      </w:r>
      <w:r>
        <w:rPr>
          <w:rFonts w:hint="default" w:ascii="Times New Roman" w:hAnsi="Times New Roman" w:eastAsia="黑体" w:cs="Times New Roman"/>
          <w:b w:val="0"/>
          <w:sz w:val="28"/>
          <w:szCs w:val="28"/>
        </w:rPr>
        <w:t>年</w:t>
      </w:r>
      <w:r>
        <w:rPr>
          <w:rFonts w:hint="eastAsia" w:ascii="Times New Roman" w:hAnsi="Times New Roman" w:eastAsia="黑体" w:cs="Times New Roman"/>
          <w:b w:val="0"/>
          <w:sz w:val="28"/>
          <w:szCs w:val="28"/>
          <w:lang w:val="en-US" w:eastAsia="zh-CN"/>
        </w:rPr>
        <w:t>平原区</w:t>
      </w:r>
      <w:r>
        <w:rPr>
          <w:rFonts w:hint="default" w:ascii="Times New Roman" w:hAnsi="Times New Roman" w:eastAsia="黑体" w:cs="Times New Roman"/>
          <w:b w:val="0"/>
          <w:sz w:val="28"/>
          <w:szCs w:val="28"/>
        </w:rPr>
        <w:t>地下水变幅分区面积统计表</w:t>
      </w:r>
    </w:p>
    <w:p>
      <w:pPr>
        <w:pStyle w:val="31"/>
        <w:widowControl w:val="0"/>
        <w:spacing w:before="0" w:beforeAutospacing="0" w:after="0" w:afterAutospacing="0"/>
        <w:jc w:val="right"/>
        <w:textAlignment w:val="auto"/>
        <w:rPr>
          <w:rFonts w:hint="eastAsia" w:ascii="黑体" w:hAnsi="黑体" w:eastAsia="黑体" w:cs="黑体"/>
          <w:b w:val="0"/>
          <w:sz w:val="24"/>
          <w:szCs w:val="24"/>
        </w:rPr>
      </w:pPr>
      <w:r>
        <w:rPr>
          <w:rFonts w:hint="eastAsia" w:ascii="黑体" w:hAnsi="黑体" w:eastAsia="黑体" w:cs="黑体"/>
          <w:b w:val="0"/>
          <w:bCs w:val="0"/>
          <w:sz w:val="24"/>
          <w:lang w:val="en-US" w:eastAsia="zh-CN"/>
        </w:rPr>
        <w:t>面积单位：km</w:t>
      </w:r>
      <w:r>
        <w:rPr>
          <w:rFonts w:hint="eastAsia" w:ascii="黑体" w:hAnsi="黑体" w:eastAsia="黑体" w:cs="黑体"/>
          <w:b w:val="0"/>
          <w:bCs w:val="0"/>
          <w:sz w:val="24"/>
          <w:vertAlign w:val="superscript"/>
          <w:lang w:val="en-US" w:eastAsia="zh-CN"/>
        </w:rPr>
        <w:t>2</w:t>
      </w:r>
    </w:p>
    <w:tbl>
      <w:tblPr>
        <w:tblStyle w:val="23"/>
        <w:tblW w:w="9340" w:type="dxa"/>
        <w:jc w:val="center"/>
        <w:tblInd w:w="0" w:type="dxa"/>
        <w:tblLayout w:type="fixed"/>
        <w:tblCellMar>
          <w:top w:w="0" w:type="dxa"/>
          <w:left w:w="0" w:type="dxa"/>
          <w:bottom w:w="0" w:type="dxa"/>
          <w:right w:w="227" w:type="dxa"/>
        </w:tblCellMar>
      </w:tblPr>
      <w:tblGrid>
        <w:gridCol w:w="1215"/>
        <w:gridCol w:w="1624"/>
        <w:gridCol w:w="1844"/>
        <w:gridCol w:w="1679"/>
        <w:gridCol w:w="1492"/>
        <w:gridCol w:w="1486"/>
      </w:tblGrid>
      <w:tr>
        <w:tblPrEx>
          <w:tblLayout w:type="fixed"/>
          <w:tblCellMar>
            <w:top w:w="0" w:type="dxa"/>
            <w:left w:w="0" w:type="dxa"/>
            <w:bottom w:w="0" w:type="dxa"/>
            <w:right w:w="227" w:type="dxa"/>
          </w:tblCellMar>
        </w:tblPrEx>
        <w:trPr>
          <w:trHeight w:val="745" w:hRule="atLeast"/>
          <w:jc w:val="center"/>
        </w:trPr>
        <w:tc>
          <w:tcPr>
            <w:tcW w:w="2839" w:type="dxa"/>
            <w:gridSpan w:val="2"/>
            <w:tcBorders>
              <w:top w:val="single" w:color="auto" w:sz="12" w:space="0"/>
              <w:bottom w:val="single" w:color="auto" w:sz="12" w:space="0"/>
              <w:right w:val="single" w:color="auto" w:sz="4" w:space="0"/>
              <w:tl2br w:val="single" w:color="auto" w:sz="4" w:space="0"/>
            </w:tcBorders>
            <w:vAlign w:val="center"/>
          </w:tcPr>
          <w:p>
            <w:pPr>
              <w:ind w:right="99"/>
              <w:jc w:val="right"/>
              <w:rPr>
                <w:rFonts w:hint="default" w:ascii="Times New Roman" w:hAnsi="Times New Roman" w:eastAsia="仿宋" w:cs="Times New Roman"/>
                <w:sz w:val="24"/>
              </w:rPr>
            </w:pPr>
            <w:r>
              <w:rPr>
                <w:rFonts w:hint="default" w:ascii="Times New Roman" w:hAnsi="Times New Roman" w:eastAsia="仿宋" w:cs="Times New Roman"/>
                <w:sz w:val="24"/>
              </w:rPr>
              <w:t>分区</w:t>
            </w:r>
          </w:p>
          <w:p>
            <w:pPr>
              <w:ind w:firstLine="360" w:firstLineChars="150"/>
              <w:jc w:val="left"/>
              <w:rPr>
                <w:rFonts w:hint="default" w:ascii="Times New Roman" w:hAnsi="Times New Roman" w:eastAsia="仿宋" w:cs="Times New Roman"/>
                <w:sz w:val="24"/>
              </w:rPr>
            </w:pPr>
            <w:r>
              <w:rPr>
                <w:rFonts w:hint="default" w:ascii="Times New Roman" w:hAnsi="Times New Roman" w:eastAsia="仿宋" w:cs="Times New Roman"/>
                <w:sz w:val="24"/>
              </w:rPr>
              <w:t>项目</w:t>
            </w:r>
          </w:p>
        </w:tc>
        <w:tc>
          <w:tcPr>
            <w:tcW w:w="1844" w:type="dxa"/>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稳定区</w:t>
            </w:r>
          </w:p>
        </w:tc>
        <w:tc>
          <w:tcPr>
            <w:tcW w:w="1679" w:type="dxa"/>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下降区</w:t>
            </w:r>
          </w:p>
        </w:tc>
        <w:tc>
          <w:tcPr>
            <w:tcW w:w="1492" w:type="dxa"/>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上升区</w:t>
            </w:r>
          </w:p>
        </w:tc>
        <w:tc>
          <w:tcPr>
            <w:tcW w:w="1486" w:type="dxa"/>
            <w:tcBorders>
              <w:top w:val="single" w:color="auto" w:sz="12" w:space="0"/>
              <w:left w:val="nil"/>
              <w:bottom w:val="single" w:color="auto" w:sz="12" w:space="0"/>
            </w:tcBorders>
            <w:vAlign w:val="center"/>
          </w:tcPr>
          <w:p>
            <w:pPr>
              <w:jc w:val="center"/>
              <w:rPr>
                <w:rFonts w:hint="default" w:ascii="Times New Roman" w:hAnsi="Times New Roman" w:eastAsia="仿宋" w:cs="Times New Roman"/>
                <w:sz w:val="24"/>
              </w:rPr>
            </w:pPr>
            <w:r>
              <w:rPr>
                <w:rFonts w:hint="default" w:ascii="Times New Roman" w:hAnsi="Times New Roman" w:eastAsia="仿宋" w:cs="Times New Roman"/>
                <w:sz w:val="24"/>
              </w:rPr>
              <w:t>合计</w:t>
            </w:r>
          </w:p>
        </w:tc>
      </w:tr>
      <w:tr>
        <w:tblPrEx>
          <w:tblLayout w:type="fixed"/>
          <w:tblCellMar>
            <w:top w:w="0" w:type="dxa"/>
            <w:left w:w="0" w:type="dxa"/>
            <w:bottom w:w="0" w:type="dxa"/>
            <w:right w:w="227" w:type="dxa"/>
          </w:tblCellMar>
        </w:tblPrEx>
        <w:trPr>
          <w:trHeight w:val="514" w:hRule="atLeast"/>
          <w:jc w:val="center"/>
        </w:trPr>
        <w:tc>
          <w:tcPr>
            <w:tcW w:w="1215" w:type="dxa"/>
            <w:vMerge w:val="restart"/>
            <w:tcBorders>
              <w:top w:val="single" w:color="auto" w:sz="12" w:space="0"/>
              <w:right w:val="single" w:color="auto" w:sz="4" w:space="0"/>
            </w:tcBorders>
            <w:vAlign w:val="center"/>
          </w:tcPr>
          <w:p>
            <w:pPr>
              <w:ind w:right="-191" w:rightChars="-91"/>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lang w:val="en-US" w:eastAsia="zh-CN"/>
              </w:rPr>
              <w:t>2018年</w:t>
            </w:r>
          </w:p>
        </w:tc>
        <w:tc>
          <w:tcPr>
            <w:tcW w:w="1624" w:type="dxa"/>
            <w:tcBorders>
              <w:top w:val="single" w:color="auto" w:sz="12" w:space="0"/>
              <w:left w:val="single" w:color="auto" w:sz="4" w:space="0"/>
              <w:bottom w:val="single" w:color="auto" w:sz="4" w:space="0"/>
              <w:right w:val="single" w:color="auto" w:sz="4" w:space="0"/>
            </w:tcBorders>
            <w:vAlign w:val="center"/>
          </w:tcPr>
          <w:p>
            <w:pPr>
              <w:ind w:right="-191" w:rightChars="-91"/>
              <w:jc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分区面积</w:t>
            </w:r>
          </w:p>
        </w:tc>
        <w:tc>
          <w:tcPr>
            <w:tcW w:w="1844"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854.5</w:t>
            </w:r>
          </w:p>
        </w:tc>
        <w:tc>
          <w:tcPr>
            <w:tcW w:w="1679"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1205.0</w:t>
            </w:r>
          </w:p>
        </w:tc>
        <w:tc>
          <w:tcPr>
            <w:tcW w:w="1492"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665.0</w:t>
            </w:r>
          </w:p>
        </w:tc>
        <w:tc>
          <w:tcPr>
            <w:tcW w:w="1486" w:type="dxa"/>
            <w:tcBorders>
              <w:top w:val="single" w:color="auto" w:sz="12"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2724.5</w:t>
            </w:r>
          </w:p>
        </w:tc>
      </w:tr>
      <w:tr>
        <w:tblPrEx>
          <w:tblLayout w:type="fixed"/>
          <w:tblCellMar>
            <w:top w:w="0" w:type="dxa"/>
            <w:left w:w="0" w:type="dxa"/>
            <w:bottom w:w="0" w:type="dxa"/>
            <w:right w:w="227" w:type="dxa"/>
          </w:tblCellMar>
        </w:tblPrEx>
        <w:trPr>
          <w:trHeight w:val="475" w:hRule="atLeast"/>
          <w:jc w:val="center"/>
        </w:trPr>
        <w:tc>
          <w:tcPr>
            <w:tcW w:w="1215" w:type="dxa"/>
            <w:vMerge w:val="continue"/>
            <w:tcBorders>
              <w:bottom w:val="single" w:color="auto" w:sz="4" w:space="0"/>
              <w:right w:val="single" w:color="auto" w:sz="4" w:space="0"/>
            </w:tcBorders>
            <w:vAlign w:val="center"/>
          </w:tcPr>
          <w:p>
            <w:pPr>
              <w:ind w:right="-191" w:rightChars="-91"/>
              <w:jc w:val="center"/>
              <w:rPr>
                <w:rFonts w:hint="default" w:ascii="Times New Roman" w:hAnsi="Times New Roman" w:eastAsia="仿宋" w:cs="Times New Roman"/>
                <w:color w:val="000000"/>
                <w:sz w:val="24"/>
                <w:lang w:eastAsia="zh-CN"/>
              </w:rPr>
            </w:pPr>
          </w:p>
        </w:tc>
        <w:tc>
          <w:tcPr>
            <w:tcW w:w="1624"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占比</w:t>
            </w:r>
            <w:r>
              <w:rPr>
                <w:rFonts w:hint="default" w:ascii="Times New Roman" w:hAnsi="Times New Roman" w:eastAsia="仿宋" w:cs="Times New Roman"/>
                <w:color w:val="000000"/>
                <w:sz w:val="24"/>
                <w:lang w:val="en-US" w:eastAsia="zh-CN"/>
              </w:rPr>
              <w:t>(</w:t>
            </w:r>
            <w:r>
              <w:rPr>
                <w:rFonts w:hint="default" w:ascii="Times New Roman" w:hAnsi="Times New Roman" w:eastAsia="仿宋" w:cs="Times New Roman"/>
                <w:color w:val="000000"/>
                <w:sz w:val="24"/>
              </w:rPr>
              <w:t>%</w:t>
            </w:r>
            <w:r>
              <w:rPr>
                <w:rFonts w:hint="default" w:ascii="Times New Roman" w:hAnsi="Times New Roman" w:eastAsia="仿宋" w:cs="Times New Roman"/>
                <w:color w:val="000000"/>
                <w:sz w:val="24"/>
                <w:lang w:val="en-US" w:eastAsia="zh-CN"/>
              </w:rPr>
              <w:t>)</w:t>
            </w:r>
          </w:p>
        </w:tc>
        <w:tc>
          <w:tcPr>
            <w:tcW w:w="18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31.4</w:t>
            </w:r>
          </w:p>
        </w:tc>
        <w:tc>
          <w:tcPr>
            <w:tcW w:w="1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44.2</w:t>
            </w:r>
          </w:p>
        </w:tc>
        <w:tc>
          <w:tcPr>
            <w:tcW w:w="149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24.4</w:t>
            </w:r>
          </w:p>
        </w:tc>
        <w:tc>
          <w:tcPr>
            <w:tcW w:w="1486"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100</w:t>
            </w:r>
          </w:p>
        </w:tc>
      </w:tr>
      <w:tr>
        <w:tblPrEx>
          <w:tblLayout w:type="fixed"/>
          <w:tblCellMar>
            <w:top w:w="0" w:type="dxa"/>
            <w:left w:w="0" w:type="dxa"/>
            <w:bottom w:w="0" w:type="dxa"/>
            <w:right w:w="227" w:type="dxa"/>
          </w:tblCellMar>
        </w:tblPrEx>
        <w:trPr>
          <w:trHeight w:val="475" w:hRule="atLeast"/>
          <w:jc w:val="center"/>
        </w:trPr>
        <w:tc>
          <w:tcPr>
            <w:tcW w:w="1215" w:type="dxa"/>
            <w:vMerge w:val="restart"/>
            <w:tcBorders>
              <w:top w:val="single" w:color="auto" w:sz="4" w:space="0"/>
              <w:right w:val="single" w:color="auto" w:sz="4" w:space="0"/>
            </w:tcBorders>
            <w:vAlign w:val="center"/>
          </w:tcPr>
          <w:p>
            <w:pPr>
              <w:ind w:right="-191" w:rightChars="-91"/>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lang w:val="en-US" w:eastAsia="zh-CN"/>
              </w:rPr>
              <w:t>2017年</w:t>
            </w:r>
          </w:p>
        </w:tc>
        <w:tc>
          <w:tcPr>
            <w:tcW w:w="1624"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分区面积</w:t>
            </w:r>
          </w:p>
        </w:tc>
        <w:tc>
          <w:tcPr>
            <w:tcW w:w="18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1494.5</w:t>
            </w:r>
          </w:p>
        </w:tc>
        <w:tc>
          <w:tcPr>
            <w:tcW w:w="1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1120.0</w:t>
            </w:r>
          </w:p>
        </w:tc>
        <w:tc>
          <w:tcPr>
            <w:tcW w:w="149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110.0</w:t>
            </w:r>
          </w:p>
        </w:tc>
        <w:tc>
          <w:tcPr>
            <w:tcW w:w="1486"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2724.5</w:t>
            </w:r>
          </w:p>
        </w:tc>
      </w:tr>
      <w:tr>
        <w:tblPrEx>
          <w:tblLayout w:type="fixed"/>
          <w:tblCellMar>
            <w:top w:w="0" w:type="dxa"/>
            <w:left w:w="0" w:type="dxa"/>
            <w:bottom w:w="0" w:type="dxa"/>
            <w:right w:w="227" w:type="dxa"/>
          </w:tblCellMar>
        </w:tblPrEx>
        <w:trPr>
          <w:trHeight w:val="475" w:hRule="atLeast"/>
          <w:jc w:val="center"/>
        </w:trPr>
        <w:tc>
          <w:tcPr>
            <w:tcW w:w="1215" w:type="dxa"/>
            <w:vMerge w:val="continue"/>
            <w:tcBorders>
              <w:bottom w:val="single" w:color="auto" w:sz="4" w:space="0"/>
              <w:right w:val="single" w:color="auto" w:sz="4" w:space="0"/>
            </w:tcBorders>
            <w:vAlign w:val="center"/>
          </w:tcPr>
          <w:p>
            <w:pPr>
              <w:ind w:right="-191" w:rightChars="-91"/>
              <w:jc w:val="center"/>
              <w:rPr>
                <w:rFonts w:hint="default" w:ascii="Times New Roman" w:hAnsi="Times New Roman" w:eastAsia="仿宋" w:cs="Times New Roman"/>
                <w:color w:val="000000"/>
                <w:sz w:val="24"/>
              </w:rPr>
            </w:pPr>
          </w:p>
        </w:tc>
        <w:tc>
          <w:tcPr>
            <w:tcW w:w="1624"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占比</w:t>
            </w:r>
            <w:r>
              <w:rPr>
                <w:rFonts w:hint="default" w:ascii="Times New Roman" w:hAnsi="Times New Roman" w:eastAsia="仿宋" w:cs="Times New Roman"/>
                <w:color w:val="000000"/>
                <w:sz w:val="24"/>
                <w:lang w:val="en-US" w:eastAsia="zh-CN"/>
              </w:rPr>
              <w:t>(</w:t>
            </w:r>
            <w:r>
              <w:rPr>
                <w:rFonts w:hint="default" w:ascii="Times New Roman" w:hAnsi="Times New Roman" w:eastAsia="仿宋" w:cs="Times New Roman"/>
                <w:color w:val="000000"/>
                <w:sz w:val="24"/>
              </w:rPr>
              <w:t>%</w:t>
            </w:r>
            <w:r>
              <w:rPr>
                <w:rFonts w:hint="default" w:ascii="Times New Roman" w:hAnsi="Times New Roman" w:eastAsia="仿宋" w:cs="Times New Roman"/>
                <w:color w:val="000000"/>
                <w:sz w:val="24"/>
                <w:lang w:val="en-US" w:eastAsia="zh-CN"/>
              </w:rPr>
              <w:t>)</w:t>
            </w:r>
          </w:p>
        </w:tc>
        <w:tc>
          <w:tcPr>
            <w:tcW w:w="18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54.9</w:t>
            </w:r>
          </w:p>
        </w:tc>
        <w:tc>
          <w:tcPr>
            <w:tcW w:w="167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41.1</w:t>
            </w:r>
          </w:p>
        </w:tc>
        <w:tc>
          <w:tcPr>
            <w:tcW w:w="149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4.0</w:t>
            </w:r>
          </w:p>
        </w:tc>
        <w:tc>
          <w:tcPr>
            <w:tcW w:w="1486"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100</w:t>
            </w:r>
          </w:p>
        </w:tc>
      </w:tr>
      <w:tr>
        <w:tblPrEx>
          <w:tblLayout w:type="fixed"/>
          <w:tblCellMar>
            <w:top w:w="0" w:type="dxa"/>
            <w:left w:w="0" w:type="dxa"/>
            <w:bottom w:w="0" w:type="dxa"/>
            <w:right w:w="227" w:type="dxa"/>
          </w:tblCellMar>
        </w:tblPrEx>
        <w:trPr>
          <w:trHeight w:val="534" w:hRule="atLeast"/>
          <w:jc w:val="center"/>
        </w:trPr>
        <w:tc>
          <w:tcPr>
            <w:tcW w:w="2839" w:type="dxa"/>
            <w:gridSpan w:val="2"/>
            <w:tcBorders>
              <w:top w:val="single" w:color="auto" w:sz="4" w:space="0"/>
              <w:bottom w:val="single" w:color="auto" w:sz="12" w:space="0"/>
              <w:right w:val="single" w:color="auto" w:sz="4" w:space="0"/>
            </w:tcBorders>
            <w:vAlign w:val="center"/>
          </w:tcPr>
          <w:p>
            <w:pPr>
              <w:ind w:right="-191" w:rightChars="-91"/>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增减幅度</w:t>
            </w:r>
            <w:r>
              <w:rPr>
                <w:rFonts w:hint="default" w:ascii="Times New Roman" w:hAnsi="Times New Roman" w:eastAsia="仿宋" w:cs="Times New Roman"/>
                <w:color w:val="000000"/>
                <w:sz w:val="24"/>
                <w:lang w:val="en-US" w:eastAsia="zh-CN"/>
              </w:rPr>
              <w:t>(</w:t>
            </w:r>
            <w:r>
              <w:rPr>
                <w:rFonts w:hint="default" w:ascii="Times New Roman" w:hAnsi="Times New Roman" w:eastAsia="仿宋" w:cs="Times New Roman"/>
                <w:color w:val="000000"/>
                <w:sz w:val="24"/>
              </w:rPr>
              <w:t>%</w:t>
            </w:r>
            <w:r>
              <w:rPr>
                <w:rFonts w:hint="default" w:ascii="Times New Roman" w:hAnsi="Times New Roman" w:eastAsia="仿宋" w:cs="Times New Roman"/>
                <w:color w:val="000000"/>
                <w:sz w:val="24"/>
                <w:lang w:val="en-US" w:eastAsia="zh-CN"/>
              </w:rPr>
              <w:t>)</w:t>
            </w:r>
          </w:p>
        </w:tc>
        <w:tc>
          <w:tcPr>
            <w:tcW w:w="1844"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-42.8</w:t>
            </w:r>
          </w:p>
        </w:tc>
        <w:tc>
          <w:tcPr>
            <w:tcW w:w="1679"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7.6</w:t>
            </w:r>
          </w:p>
        </w:tc>
        <w:tc>
          <w:tcPr>
            <w:tcW w:w="1492"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504.5</w:t>
            </w:r>
          </w:p>
        </w:tc>
        <w:tc>
          <w:tcPr>
            <w:tcW w:w="1486" w:type="dxa"/>
            <w:tcBorders>
              <w:top w:val="single" w:color="auto" w:sz="4" w:space="0"/>
              <w:left w:val="single" w:color="auto" w:sz="4" w:space="0"/>
              <w:bottom w:val="single" w:color="auto" w:sz="12" w:space="0"/>
            </w:tcBorders>
            <w:vAlign w:val="center"/>
          </w:tcPr>
          <w:p>
            <w:pPr>
              <w:keepNext w:val="0"/>
              <w:keepLines w:val="0"/>
              <w:widowControl/>
              <w:suppressLineNumbers w:val="0"/>
              <w:jc w:val="center"/>
              <w:textAlignment w:val="bottom"/>
              <w:rPr>
                <w:rFonts w:hint="default" w:ascii="Times New Roman" w:hAnsi="Times New Roman" w:eastAsia="仿宋" w:cs="Times New Roman"/>
                <w:color w:val="000000"/>
                <w:sz w:val="24"/>
              </w:rPr>
            </w:pPr>
            <w:r>
              <w:rPr>
                <w:rFonts w:hint="default" w:ascii="Times New Roman" w:hAnsi="Times New Roman" w:eastAsia="仿宋_GB2312" w:cs="Times New Roman"/>
                <w:i w:val="0"/>
                <w:color w:val="000000"/>
                <w:kern w:val="0"/>
                <w:sz w:val="24"/>
                <w:szCs w:val="24"/>
                <w:u w:val="none"/>
                <w:lang w:val="en-US" w:eastAsia="zh-CN" w:bidi="ar"/>
              </w:rPr>
              <w:t>100</w:t>
            </w:r>
          </w:p>
        </w:tc>
      </w:tr>
    </w:tbl>
    <w:p>
      <w:pPr>
        <w:widowControl/>
        <w:ind w:left="176" w:leftChars="84"/>
        <w:jc w:val="center"/>
        <w:rPr>
          <w:rFonts w:hint="default" w:ascii="Times New Roman" w:hAnsi="Times New Roman" w:eastAsia="黑体" w:cs="Times New Roman"/>
          <w:sz w:val="28"/>
          <w:szCs w:val="28"/>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pStyle w:val="31"/>
        <w:widowControl w:val="0"/>
        <w:spacing w:before="0" w:beforeAutospacing="0" w:after="0" w:afterAutospacing="0"/>
        <w:ind w:right="124"/>
        <w:textAlignment w:val="auto"/>
        <w:rPr>
          <w:rFonts w:hint="default" w:ascii="Times New Roman" w:hAnsi="Times New Roman" w:eastAsia="宋体" w:cs="Times New Roman"/>
          <w:bCs w:val="0"/>
          <w:lang w:eastAsia="zh-CN"/>
        </w:rPr>
      </w:pPr>
      <w:r>
        <w:rPr>
          <w:rFonts w:hint="default" w:ascii="Times New Roman" w:hAnsi="Times New Roman" w:eastAsia="宋体" w:cs="Times New Roman"/>
          <w:bCs w:val="0"/>
          <w:lang w:eastAsia="zh-CN"/>
        </w:rPr>
        <w:drawing>
          <wp:inline distT="0" distB="0" distL="114300" distR="114300">
            <wp:extent cx="7823835" cy="5471795"/>
            <wp:effectExtent l="0" t="0" r="5715" b="14605"/>
            <wp:docPr id="8" name="图片 8" descr="2018年埋深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8年埋深分区图"/>
                    <pic:cNvPicPr>
                      <a:picLocks noChangeAspect="1"/>
                    </pic:cNvPicPr>
                  </pic:nvPicPr>
                  <pic:blipFill>
                    <a:blip r:embed="rId19"/>
                    <a:stretch>
                      <a:fillRect/>
                    </a:stretch>
                  </pic:blipFill>
                  <pic:spPr>
                    <a:xfrm>
                      <a:off x="0" y="0"/>
                      <a:ext cx="7823835" cy="5471795"/>
                    </a:xfrm>
                    <a:prstGeom prst="rect">
                      <a:avLst/>
                    </a:prstGeom>
                  </pic:spPr>
                </pic:pic>
              </a:graphicData>
            </a:graphic>
          </wp:inline>
        </w:drawing>
      </w:r>
    </w:p>
    <w:p>
      <w:pPr>
        <w:pStyle w:val="31"/>
        <w:widowControl w:val="0"/>
        <w:spacing w:before="0" w:beforeAutospacing="0" w:after="0" w:afterAutospacing="0"/>
        <w:ind w:right="124"/>
        <w:textAlignment w:val="auto"/>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 xml:space="preserve">图4  </w:t>
      </w:r>
      <w:r>
        <w:rPr>
          <w:rFonts w:hint="default" w:ascii="Times New Roman" w:hAnsi="Times New Roman" w:eastAsia="黑体" w:cs="Times New Roman"/>
          <w:b w:val="0"/>
          <w:bCs w:val="0"/>
          <w:sz w:val="28"/>
          <w:szCs w:val="28"/>
          <w:lang w:eastAsia="zh-CN"/>
        </w:rPr>
        <w:t>2018</w:t>
      </w:r>
      <w:r>
        <w:rPr>
          <w:rFonts w:hint="default" w:ascii="Times New Roman" w:hAnsi="Times New Roman" w:eastAsia="黑体" w:cs="Times New Roman"/>
          <w:b w:val="0"/>
          <w:bCs w:val="0"/>
          <w:sz w:val="28"/>
          <w:szCs w:val="28"/>
        </w:rPr>
        <w:t>年郑州市平原区浅层地下水埋深分区图</w:t>
      </w:r>
    </w:p>
    <w:p>
      <w:pPr>
        <w:pStyle w:val="31"/>
        <w:widowControl w:val="0"/>
        <w:spacing w:before="0" w:beforeAutospacing="0" w:after="0" w:afterAutospacing="0"/>
        <w:ind w:left="1" w:right="120"/>
        <w:textAlignment w:val="auto"/>
        <w:rPr>
          <w:rFonts w:hint="default" w:ascii="Times New Roman" w:hAnsi="Times New Roman" w:eastAsia="宋体" w:cs="Times New Roman"/>
          <w:b w:val="0"/>
          <w:kern w:val="2"/>
          <w:sz w:val="24"/>
          <w:szCs w:val="24"/>
          <w:lang w:eastAsia="zh-CN"/>
        </w:rPr>
      </w:pPr>
      <w:r>
        <w:rPr>
          <w:rFonts w:hint="default" w:ascii="Times New Roman" w:hAnsi="Times New Roman" w:eastAsia="宋体" w:cs="Times New Roman"/>
          <w:b w:val="0"/>
          <w:kern w:val="2"/>
          <w:sz w:val="24"/>
          <w:szCs w:val="24"/>
          <w:lang w:eastAsia="zh-CN"/>
        </w:rPr>
        <w:drawing>
          <wp:inline distT="0" distB="0" distL="114300" distR="114300">
            <wp:extent cx="7823835" cy="5471795"/>
            <wp:effectExtent l="0" t="0" r="5715" b="14605"/>
            <wp:docPr id="4" name="图片 4" descr="2018年埋深变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年埋深变幅图"/>
                    <pic:cNvPicPr>
                      <a:picLocks noChangeAspect="1"/>
                    </pic:cNvPicPr>
                  </pic:nvPicPr>
                  <pic:blipFill>
                    <a:blip r:embed="rId20"/>
                    <a:stretch>
                      <a:fillRect/>
                    </a:stretch>
                  </pic:blipFill>
                  <pic:spPr>
                    <a:xfrm>
                      <a:off x="0" y="0"/>
                      <a:ext cx="7823835" cy="5471795"/>
                    </a:xfrm>
                    <a:prstGeom prst="rect">
                      <a:avLst/>
                    </a:prstGeom>
                  </pic:spPr>
                </pic:pic>
              </a:graphicData>
            </a:graphic>
          </wp:inline>
        </w:drawing>
      </w:r>
    </w:p>
    <w:p>
      <w:pPr>
        <w:jc w:val="center"/>
        <w:rPr>
          <w:rFonts w:hint="default" w:ascii="Times New Roman" w:hAnsi="Times New Roman" w:eastAsia="黑体" w:cs="Times New Roman"/>
          <w:sz w:val="28"/>
          <w:szCs w:val="28"/>
        </w:rPr>
        <w:sectPr>
          <w:pgSz w:w="16838" w:h="11906" w:orient="landscape"/>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eastAsia="黑体" w:cs="Times New Roman"/>
          <w:bCs/>
          <w:sz w:val="28"/>
          <w:szCs w:val="28"/>
        </w:rPr>
        <w:t xml:space="preserve">图5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年郑州市平原区浅层地下水埋深变幅图</w:t>
      </w:r>
    </w:p>
    <w:p>
      <w:pPr>
        <w:rPr>
          <w:rFonts w:hint="default" w:ascii="Times New Roman" w:hAnsi="Times New Roman" w:cs="Times New Roman"/>
        </w:rPr>
      </w:pPr>
    </w:p>
    <w:p>
      <w:pPr>
        <w:pStyle w:val="4"/>
        <w:spacing w:before="0" w:after="0" w:line="360" w:lineRule="auto"/>
        <w:jc w:val="left"/>
        <w:rPr>
          <w:rFonts w:hint="eastAsia" w:ascii="Times New Roman" w:hAnsi="Times New Roman" w:eastAsia="黑体" w:cs="Times New Roman"/>
          <w:b w:val="0"/>
          <w:lang w:eastAsia="zh-CN"/>
        </w:rPr>
      </w:pPr>
      <w:bookmarkStart w:id="16" w:name="_Toc15989"/>
      <w:r>
        <w:rPr>
          <w:rFonts w:hint="default" w:ascii="Times New Roman" w:hAnsi="Times New Roman" w:cs="Times New Roman"/>
          <w:b w:val="0"/>
        </w:rPr>
        <w:t xml:space="preserve">3.3 </w:t>
      </w:r>
      <w:r>
        <w:rPr>
          <w:rFonts w:hint="eastAsia" w:ascii="Times New Roman" w:hAnsi="Times New Roman" w:cs="Times New Roman"/>
          <w:b w:val="0"/>
          <w:lang w:val="en-US" w:eastAsia="zh-CN"/>
        </w:rPr>
        <w:t>市域城市建成区</w:t>
      </w:r>
      <w:r>
        <w:rPr>
          <w:rFonts w:hint="default" w:ascii="Times New Roman" w:hAnsi="Times New Roman" w:cs="Times New Roman"/>
          <w:b w:val="0"/>
        </w:rPr>
        <w:t>地下水</w:t>
      </w:r>
      <w:r>
        <w:rPr>
          <w:rFonts w:hint="eastAsia" w:ascii="Times New Roman" w:hAnsi="Times New Roman" w:cs="Times New Roman"/>
          <w:b w:val="0"/>
          <w:lang w:val="en-US" w:eastAsia="zh-CN"/>
        </w:rPr>
        <w:t>动态</w:t>
      </w:r>
      <w:bookmarkEnd w:id="16"/>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根据</w:t>
      </w:r>
      <w:bookmarkStart w:id="17" w:name="_Toc380503810"/>
      <w:bookmarkStart w:id="18" w:name="_Toc380505816"/>
      <w:bookmarkStart w:id="19" w:name="_Toc380505926"/>
      <w:bookmarkStart w:id="20" w:name="_Toc381108357"/>
      <w:bookmarkStart w:id="21" w:name="_Toc380506870"/>
      <w:bookmarkStart w:id="22" w:name="_Toc381603326"/>
      <w:bookmarkStart w:id="23" w:name="_Toc377996583"/>
      <w:r>
        <w:rPr>
          <w:rFonts w:hint="default" w:ascii="Times New Roman" w:hAnsi="Times New Roman" w:eastAsia="仿宋" w:cs="Times New Roman"/>
          <w:sz w:val="30"/>
          <w:szCs w:val="30"/>
        </w:rPr>
        <w:t>郑州市供水节水技术中心和河南省地质矿产勘查开发局第二地质环境调查院编制的</w:t>
      </w: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年《郑州市地下水动态监测报告</w:t>
      </w:r>
      <w:bookmarkEnd w:id="17"/>
      <w:bookmarkEnd w:id="18"/>
      <w:bookmarkEnd w:id="19"/>
      <w:bookmarkEnd w:id="20"/>
      <w:bookmarkEnd w:id="21"/>
      <w:bookmarkEnd w:id="22"/>
      <w:bookmarkEnd w:id="23"/>
      <w:r>
        <w:rPr>
          <w:rFonts w:hint="default" w:ascii="Times New Roman" w:hAnsi="Times New Roman" w:eastAsia="仿宋" w:cs="Times New Roman"/>
          <w:sz w:val="30"/>
          <w:szCs w:val="30"/>
        </w:rPr>
        <w:t>》，郑州市区的浅层地下水指埋藏于地表80m深度内的潜水；中深层地下水指埋藏在80～350m深度的承压含水层（组），是郑州市区工业及生活用水的主要开采水源。郑州市区的浅层地下水和中深层地下水地下水水位及降落漏斗情况如下。</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1）浅层地下水</w:t>
      </w:r>
    </w:p>
    <w:p>
      <w:pPr>
        <w:spacing w:line="360" w:lineRule="auto"/>
        <w:ind w:firstLine="600" w:firstLineChars="200"/>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t>2018年</w:t>
      </w:r>
      <w:r>
        <w:rPr>
          <w:rFonts w:hint="default" w:ascii="Times New Roman" w:hAnsi="Times New Roman" w:eastAsia="仿宋" w:cs="Times New Roman"/>
          <w:sz w:val="30"/>
          <w:szCs w:val="30"/>
        </w:rPr>
        <w:t>郑州市区的浅层地下水</w:t>
      </w:r>
      <w:r>
        <w:rPr>
          <w:rFonts w:hint="default" w:ascii="Times New Roman" w:hAnsi="Times New Roman" w:eastAsia="仿宋" w:cs="Times New Roman"/>
          <w:sz w:val="30"/>
          <w:szCs w:val="30"/>
          <w:lang w:val="en-US" w:eastAsia="zh-CN"/>
        </w:rPr>
        <w:t>枯水期水位埋深平均15.92m，平均水位高程84.79m，较2017年同期水位上升0.14m；丰水期水位埋深平均16.37m，平均水位高程为84.82m，较2017年同期水位下降0.41m。</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郑州市区的浅层地下水以京广铁路为界，形成了东、西两个降落漏斗（80m等水位线闭合面积）。</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在枯水期（5月份）浅层地下水总降落漏斗面积为4</w:t>
      </w:r>
      <w:r>
        <w:rPr>
          <w:rFonts w:hint="default" w:ascii="Times New Roman" w:hAnsi="Times New Roman" w:eastAsia="仿宋" w:cs="Times New Roman"/>
          <w:sz w:val="30"/>
          <w:szCs w:val="30"/>
          <w:lang w:val="en-US" w:eastAsia="zh-CN"/>
        </w:rPr>
        <w:t>23.85</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，与去年同期相比漏斗面积减少</w:t>
      </w:r>
      <w:r>
        <w:rPr>
          <w:rFonts w:hint="default" w:ascii="Times New Roman" w:hAnsi="Times New Roman" w:eastAsia="仿宋" w:cs="Times New Roman"/>
          <w:sz w:val="30"/>
          <w:szCs w:val="30"/>
          <w:lang w:val="en-US" w:eastAsia="zh-CN"/>
        </w:rPr>
        <w:t>6.91</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。西部降落漏斗</w:t>
      </w:r>
      <w:r>
        <w:rPr>
          <w:rFonts w:hint="default" w:ascii="Times New Roman" w:hAnsi="Times New Roman" w:eastAsia="仿宋" w:cs="Times New Roman"/>
          <w:sz w:val="30"/>
          <w:szCs w:val="30"/>
          <w:lang w:val="en-US" w:eastAsia="zh-CN"/>
        </w:rPr>
        <w:t>区</w:t>
      </w:r>
      <w:r>
        <w:rPr>
          <w:rFonts w:hint="default" w:ascii="Times New Roman" w:hAnsi="Times New Roman" w:eastAsia="仿宋" w:cs="Times New Roman"/>
          <w:sz w:val="30"/>
          <w:szCs w:val="30"/>
        </w:rPr>
        <w:t>分布范围为惠济区邙山水库～古荥镇铁炉砦村～高新区沟赵办东史马村～高新区北里村～中原区须水办西岗村～须水办须水村～市界连线所圈定的范围，降落漏斗中心位于荥阳市广武镇黑里村附近，水位高程6</w:t>
      </w:r>
      <w:r>
        <w:rPr>
          <w:rFonts w:hint="default" w:ascii="Times New Roman" w:hAnsi="Times New Roman" w:eastAsia="仿宋" w:cs="Times New Roman"/>
          <w:sz w:val="30"/>
          <w:szCs w:val="30"/>
          <w:lang w:val="en-US" w:eastAsia="zh-CN"/>
        </w:rPr>
        <w:t>4.18</w:t>
      </w:r>
      <w:r>
        <w:rPr>
          <w:rFonts w:hint="default" w:ascii="Times New Roman" w:hAnsi="Times New Roman" w:eastAsia="仿宋" w:cs="Times New Roman"/>
          <w:sz w:val="30"/>
          <w:szCs w:val="30"/>
        </w:rPr>
        <w:t>m（水位埋深</w:t>
      </w:r>
      <w:r>
        <w:rPr>
          <w:rFonts w:hint="default" w:ascii="Times New Roman" w:hAnsi="Times New Roman" w:eastAsia="仿宋" w:cs="Times New Roman"/>
          <w:sz w:val="30"/>
          <w:szCs w:val="30"/>
          <w:lang w:val="en-US" w:eastAsia="zh-CN"/>
        </w:rPr>
        <w:t>38.85</w:t>
      </w:r>
      <w:r>
        <w:rPr>
          <w:rFonts w:hint="default" w:ascii="Times New Roman" w:hAnsi="Times New Roman" w:eastAsia="仿宋" w:cs="Times New Roman"/>
          <w:sz w:val="30"/>
          <w:szCs w:val="30"/>
        </w:rPr>
        <w:t>m），漏斗面积1</w:t>
      </w:r>
      <w:r>
        <w:rPr>
          <w:rFonts w:hint="default" w:ascii="Times New Roman" w:hAnsi="Times New Roman" w:eastAsia="仿宋" w:cs="Times New Roman"/>
          <w:sz w:val="30"/>
          <w:szCs w:val="30"/>
          <w:lang w:val="en-US" w:eastAsia="zh-CN"/>
        </w:rPr>
        <w:t>18.97</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。东部降落漏斗</w:t>
      </w:r>
      <w:r>
        <w:rPr>
          <w:rFonts w:hint="default" w:ascii="Times New Roman" w:hAnsi="Times New Roman" w:eastAsia="仿宋" w:cs="Times New Roman"/>
          <w:sz w:val="30"/>
          <w:szCs w:val="30"/>
          <w:lang w:val="en-US" w:eastAsia="zh-CN"/>
        </w:rPr>
        <w:t>区</w:t>
      </w:r>
      <w:r>
        <w:rPr>
          <w:rFonts w:hint="default" w:ascii="Times New Roman" w:hAnsi="Times New Roman" w:eastAsia="仿宋" w:cs="Times New Roman"/>
          <w:sz w:val="30"/>
          <w:szCs w:val="30"/>
        </w:rPr>
        <w:t>分布范围为惠济区祥云寺村～惠济区花园口镇～金水区刘庄村～惠济区</w:t>
      </w:r>
      <w:r>
        <w:rPr>
          <w:rFonts w:hint="default" w:ascii="Times New Roman" w:hAnsi="Times New Roman" w:eastAsia="仿宋" w:cs="Times New Roman"/>
          <w:sz w:val="30"/>
          <w:szCs w:val="30"/>
          <w:lang w:val="en-US" w:eastAsia="zh-CN"/>
        </w:rPr>
        <w:t>政府</w:t>
      </w:r>
      <w:r>
        <w:rPr>
          <w:rFonts w:hint="default" w:ascii="Times New Roman" w:hAnsi="Times New Roman" w:eastAsia="仿宋" w:cs="Times New Roman"/>
          <w:sz w:val="30"/>
          <w:szCs w:val="30"/>
        </w:rPr>
        <w:t>～惠济区老鸦陈村～金水区河南农业大学～二七区郑州大学～管城区岔河村～市界连线所圈定的范围，降落漏斗中心</w:t>
      </w:r>
      <w:r>
        <w:rPr>
          <w:rFonts w:hint="default" w:ascii="Times New Roman" w:hAnsi="Times New Roman" w:eastAsia="仿宋" w:cs="Times New Roman"/>
          <w:sz w:val="30"/>
          <w:szCs w:val="30"/>
          <w:lang w:val="en-US" w:eastAsia="zh-CN"/>
        </w:rPr>
        <w:t>龙子湖外环平安大道</w:t>
      </w:r>
      <w:r>
        <w:rPr>
          <w:rFonts w:hint="default" w:ascii="Times New Roman" w:hAnsi="Times New Roman" w:eastAsia="仿宋" w:cs="Times New Roman"/>
          <w:sz w:val="30"/>
          <w:szCs w:val="30"/>
        </w:rPr>
        <w:t>附近，水位高程6</w:t>
      </w:r>
      <w:r>
        <w:rPr>
          <w:rFonts w:hint="default" w:ascii="Times New Roman" w:hAnsi="Times New Roman" w:eastAsia="仿宋" w:cs="Times New Roman"/>
          <w:sz w:val="30"/>
          <w:szCs w:val="30"/>
          <w:lang w:val="en-US" w:eastAsia="zh-CN"/>
        </w:rPr>
        <w:t>4.57</w:t>
      </w:r>
      <w:r>
        <w:rPr>
          <w:rFonts w:hint="default" w:ascii="Times New Roman" w:hAnsi="Times New Roman" w:eastAsia="仿宋" w:cs="Times New Roman"/>
          <w:sz w:val="30"/>
          <w:szCs w:val="30"/>
        </w:rPr>
        <w:t>m（水位埋深</w:t>
      </w:r>
      <w:r>
        <w:rPr>
          <w:rFonts w:hint="default" w:ascii="Times New Roman" w:hAnsi="Times New Roman" w:eastAsia="仿宋" w:cs="Times New Roman"/>
          <w:sz w:val="30"/>
          <w:szCs w:val="30"/>
          <w:lang w:val="en-US" w:eastAsia="zh-CN"/>
        </w:rPr>
        <w:t>19.81</w:t>
      </w:r>
      <w:r>
        <w:rPr>
          <w:rFonts w:hint="default" w:ascii="Times New Roman" w:hAnsi="Times New Roman" w:eastAsia="仿宋" w:cs="Times New Roman"/>
          <w:sz w:val="30"/>
          <w:szCs w:val="30"/>
        </w:rPr>
        <w:t>m），漏斗面积</w:t>
      </w:r>
      <w:r>
        <w:rPr>
          <w:rFonts w:hint="default" w:ascii="Times New Roman" w:hAnsi="Times New Roman" w:eastAsia="仿宋" w:cs="Times New Roman"/>
          <w:sz w:val="30"/>
          <w:szCs w:val="30"/>
          <w:lang w:val="en-US" w:eastAsia="zh-CN"/>
        </w:rPr>
        <w:t>304.88</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在丰水期（9月份）浅层地下水总降落漏斗面积为</w:t>
      </w:r>
      <w:r>
        <w:rPr>
          <w:rFonts w:hint="default" w:ascii="Times New Roman" w:hAnsi="Times New Roman" w:eastAsia="仿宋" w:cs="Times New Roman"/>
          <w:sz w:val="30"/>
          <w:szCs w:val="30"/>
          <w:lang w:val="en-US" w:eastAsia="zh-CN"/>
        </w:rPr>
        <w:t>442.89</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，与去年同期相比漏斗面积</w:t>
      </w:r>
      <w:r>
        <w:rPr>
          <w:rFonts w:hint="default" w:ascii="Times New Roman" w:hAnsi="Times New Roman" w:eastAsia="仿宋" w:cs="Times New Roman"/>
          <w:sz w:val="30"/>
          <w:szCs w:val="30"/>
          <w:lang w:val="en-US" w:eastAsia="zh-CN"/>
        </w:rPr>
        <w:t>增加43.89</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。西部降落漏斗分布范围为惠济区邙山水库～惠济区前刘村～惠济区双桥村～高新区石佛镇北里村～中原区市中心医院～中原区须水办西岗村～中原区须水</w:t>
      </w:r>
      <w:r>
        <w:rPr>
          <w:rFonts w:hint="default" w:ascii="Times New Roman" w:hAnsi="Times New Roman" w:eastAsia="仿宋" w:cs="Times New Roman"/>
          <w:sz w:val="30"/>
          <w:szCs w:val="30"/>
          <w:lang w:val="en-US" w:eastAsia="zh-CN"/>
        </w:rPr>
        <w:t>镇</w:t>
      </w:r>
      <w:r>
        <w:rPr>
          <w:rFonts w:hint="default" w:ascii="Times New Roman" w:hAnsi="Times New Roman" w:eastAsia="仿宋" w:cs="Times New Roman"/>
          <w:sz w:val="30"/>
          <w:szCs w:val="30"/>
        </w:rPr>
        <w:t>须水村～市界连线所圈定的区域，降落漏斗中心位于荥阳市广武镇黑里村附近，水位高程</w:t>
      </w:r>
      <w:r>
        <w:rPr>
          <w:rFonts w:hint="default" w:ascii="Times New Roman" w:hAnsi="Times New Roman" w:eastAsia="仿宋" w:cs="Times New Roman"/>
          <w:sz w:val="30"/>
          <w:szCs w:val="30"/>
          <w:lang w:val="en-US" w:eastAsia="zh-CN"/>
        </w:rPr>
        <w:t>62.69</w:t>
      </w:r>
      <w:r>
        <w:rPr>
          <w:rFonts w:hint="default" w:ascii="Times New Roman" w:hAnsi="Times New Roman" w:eastAsia="仿宋" w:cs="Times New Roman"/>
          <w:sz w:val="30"/>
          <w:szCs w:val="30"/>
        </w:rPr>
        <w:t>m（水位埋深</w:t>
      </w:r>
      <w:r>
        <w:rPr>
          <w:rFonts w:hint="default" w:ascii="Times New Roman" w:hAnsi="Times New Roman" w:eastAsia="仿宋" w:cs="Times New Roman"/>
          <w:sz w:val="30"/>
          <w:szCs w:val="30"/>
          <w:lang w:val="en-US" w:eastAsia="zh-CN"/>
        </w:rPr>
        <w:t>40.34</w:t>
      </w:r>
      <w:r>
        <w:rPr>
          <w:rFonts w:hint="default" w:ascii="Times New Roman" w:hAnsi="Times New Roman" w:eastAsia="仿宋" w:cs="Times New Roman"/>
          <w:sz w:val="30"/>
          <w:szCs w:val="30"/>
        </w:rPr>
        <w:t>m），漏斗面积</w:t>
      </w:r>
      <w:r>
        <w:rPr>
          <w:rFonts w:hint="default" w:ascii="Times New Roman" w:hAnsi="Times New Roman" w:eastAsia="仿宋" w:cs="Times New Roman"/>
          <w:sz w:val="30"/>
          <w:szCs w:val="30"/>
          <w:lang w:val="en-US" w:eastAsia="zh-CN"/>
        </w:rPr>
        <w:t>120.72</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。东部降落漏斗主要分布范围为大河路～惠济区花园口镇～惠济区老鸦陈～惠济区张寨～管城区岔河～市界连线所圈定的范围，降落漏斗中心位于郑东新区龙子湖外环平安大道附近，水位高程</w:t>
      </w:r>
      <w:r>
        <w:rPr>
          <w:rFonts w:hint="default" w:ascii="Times New Roman" w:hAnsi="Times New Roman" w:eastAsia="仿宋" w:cs="Times New Roman"/>
          <w:sz w:val="30"/>
          <w:szCs w:val="30"/>
          <w:lang w:val="en-US" w:eastAsia="zh-CN"/>
        </w:rPr>
        <w:t>65.74</w:t>
      </w:r>
      <w:r>
        <w:rPr>
          <w:rFonts w:hint="default" w:ascii="Times New Roman" w:hAnsi="Times New Roman" w:eastAsia="仿宋" w:cs="Times New Roman"/>
          <w:sz w:val="30"/>
          <w:szCs w:val="30"/>
        </w:rPr>
        <w:t>m（水位埋深</w:t>
      </w:r>
      <w:r>
        <w:rPr>
          <w:rFonts w:hint="default" w:ascii="Times New Roman" w:hAnsi="Times New Roman" w:eastAsia="仿宋" w:cs="Times New Roman"/>
          <w:sz w:val="30"/>
          <w:szCs w:val="30"/>
          <w:lang w:val="en-US" w:eastAsia="zh-CN"/>
        </w:rPr>
        <w:t>18.64</w:t>
      </w:r>
      <w:r>
        <w:rPr>
          <w:rFonts w:hint="default" w:ascii="Times New Roman" w:hAnsi="Times New Roman" w:eastAsia="仿宋" w:cs="Times New Roman"/>
          <w:sz w:val="30"/>
          <w:szCs w:val="30"/>
        </w:rPr>
        <w:t>m），漏斗面积</w:t>
      </w:r>
      <w:r>
        <w:rPr>
          <w:rFonts w:hint="default" w:ascii="Times New Roman" w:hAnsi="Times New Roman" w:eastAsia="仿宋" w:cs="Times New Roman"/>
          <w:sz w:val="30"/>
          <w:szCs w:val="30"/>
          <w:lang w:val="en-US" w:eastAsia="zh-CN"/>
        </w:rPr>
        <w:t>322.17</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2）中深层地下水</w:t>
      </w:r>
    </w:p>
    <w:p>
      <w:pPr>
        <w:spacing w:line="360" w:lineRule="auto"/>
        <w:ind w:firstLine="600" w:firstLineChars="200"/>
        <w:jc w:val="left"/>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val="en-US" w:eastAsia="zh-CN"/>
        </w:rPr>
        <w:t>2018年</w:t>
      </w:r>
      <w:r>
        <w:rPr>
          <w:rFonts w:hint="default" w:ascii="Times New Roman" w:hAnsi="Times New Roman" w:eastAsia="仿宋" w:cs="Times New Roman"/>
          <w:sz w:val="30"/>
          <w:szCs w:val="30"/>
        </w:rPr>
        <w:t>郑州市区的</w:t>
      </w:r>
      <w:r>
        <w:rPr>
          <w:rFonts w:hint="default" w:ascii="Times New Roman" w:hAnsi="Times New Roman" w:eastAsia="仿宋" w:cs="Times New Roman"/>
          <w:sz w:val="30"/>
          <w:szCs w:val="30"/>
          <w:lang w:val="en-US" w:eastAsia="zh-CN"/>
        </w:rPr>
        <w:t>中深</w:t>
      </w:r>
      <w:r>
        <w:rPr>
          <w:rFonts w:hint="default" w:ascii="Times New Roman" w:hAnsi="Times New Roman" w:eastAsia="仿宋" w:cs="Times New Roman"/>
          <w:sz w:val="30"/>
          <w:szCs w:val="30"/>
        </w:rPr>
        <w:t>层地下水</w:t>
      </w:r>
      <w:r>
        <w:rPr>
          <w:rFonts w:hint="default" w:ascii="Times New Roman" w:hAnsi="Times New Roman" w:eastAsia="仿宋" w:cs="Times New Roman"/>
          <w:sz w:val="30"/>
          <w:szCs w:val="30"/>
          <w:lang w:val="en-US" w:eastAsia="zh-CN"/>
        </w:rPr>
        <w:t>枯水期水位埋深平均47.60m，平均水位高程66.03m，较2017年同期水位上升2.90m；丰水期水位埋深平均47.56m，平均水位高程为66.45m，较2017年同期水位上升0.81m。</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郑州市区的中深层地下水降落漏斗区为以60m等水位线所圈定的面积。</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在枯水期分布范围为惠济区古荥镇～惠济区长兴路河南省四方木业有限公司～金水区杨金路办事处小贺庄村～二七区郑州市路通公路建设有限公司路油储备库～二七区郑飞公司家属院～中原区政府～中原区须水办西气东输郑州站区域。漏斗中心位于管城区机场高速郑州南收费站附近，水位高程为</w:t>
      </w:r>
      <w:r>
        <w:rPr>
          <w:rFonts w:hint="default" w:ascii="Times New Roman" w:hAnsi="Times New Roman" w:eastAsia="仿宋" w:cs="Times New Roman"/>
          <w:sz w:val="30"/>
          <w:szCs w:val="30"/>
          <w:lang w:val="en-US" w:eastAsia="zh-CN"/>
        </w:rPr>
        <w:t>31.83</w:t>
      </w:r>
      <w:r>
        <w:rPr>
          <w:rFonts w:hint="default" w:ascii="Times New Roman" w:hAnsi="Times New Roman" w:eastAsia="仿宋" w:cs="Times New Roman"/>
          <w:sz w:val="30"/>
          <w:szCs w:val="30"/>
        </w:rPr>
        <w:t>m（水位埋深</w:t>
      </w:r>
      <w:r>
        <w:rPr>
          <w:rFonts w:hint="default" w:ascii="Times New Roman" w:hAnsi="Times New Roman" w:eastAsia="仿宋" w:cs="Times New Roman"/>
          <w:sz w:val="30"/>
          <w:szCs w:val="30"/>
          <w:lang w:val="en-US" w:eastAsia="zh-CN"/>
        </w:rPr>
        <w:t>72.74</w:t>
      </w:r>
      <w:r>
        <w:rPr>
          <w:rFonts w:hint="default" w:ascii="Times New Roman" w:hAnsi="Times New Roman" w:eastAsia="仿宋" w:cs="Times New Roman"/>
          <w:sz w:val="30"/>
          <w:szCs w:val="30"/>
        </w:rPr>
        <w:t>m），漏斗面积</w:t>
      </w:r>
      <w:r>
        <w:rPr>
          <w:rFonts w:hint="default" w:ascii="Times New Roman" w:hAnsi="Times New Roman" w:eastAsia="仿宋" w:cs="Times New Roman"/>
          <w:sz w:val="30"/>
          <w:szCs w:val="30"/>
          <w:lang w:val="en-US" w:eastAsia="zh-CN"/>
        </w:rPr>
        <w:t>458.75</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。与去年</w:t>
      </w:r>
      <w:r>
        <w:rPr>
          <w:rFonts w:hint="default" w:ascii="Times New Roman" w:hAnsi="Times New Roman" w:eastAsia="仿宋" w:cs="Times New Roman"/>
          <w:sz w:val="30"/>
          <w:szCs w:val="30"/>
          <w:lang w:val="en-US" w:eastAsia="zh-CN"/>
        </w:rPr>
        <w:t>同期</w:t>
      </w:r>
      <w:r>
        <w:rPr>
          <w:rFonts w:hint="default" w:ascii="Times New Roman" w:hAnsi="Times New Roman" w:eastAsia="仿宋" w:cs="Times New Roman"/>
          <w:sz w:val="30"/>
          <w:szCs w:val="30"/>
        </w:rPr>
        <w:t>相比漏斗面积减少</w:t>
      </w:r>
      <w:r>
        <w:rPr>
          <w:rFonts w:hint="default" w:ascii="Times New Roman" w:hAnsi="Times New Roman" w:eastAsia="仿宋" w:cs="Times New Roman"/>
          <w:sz w:val="30"/>
          <w:szCs w:val="30"/>
          <w:lang w:val="en-US" w:eastAsia="zh-CN"/>
        </w:rPr>
        <w:t>5.57</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在丰水期中深层地下水漏斗分布范围为惠济区古荥镇～惠济区长兴路河南省四方木业有限公司～二七区郑州市路通公路建设有限公司路油储备库～二七区郑飞公司家属院～中原区政府～中原区须水办西气东输郑州站区域。漏斗中心位于管城区机场高速郑州南收费站附近，水位高程为</w:t>
      </w:r>
      <w:r>
        <w:rPr>
          <w:rFonts w:hint="default" w:ascii="Times New Roman" w:hAnsi="Times New Roman" w:eastAsia="仿宋" w:cs="Times New Roman"/>
          <w:sz w:val="30"/>
          <w:szCs w:val="30"/>
          <w:lang w:val="en-US" w:eastAsia="zh-CN"/>
        </w:rPr>
        <w:t>30.75</w:t>
      </w:r>
      <w:r>
        <w:rPr>
          <w:rFonts w:hint="default" w:ascii="Times New Roman" w:hAnsi="Times New Roman" w:eastAsia="仿宋" w:cs="Times New Roman"/>
          <w:sz w:val="30"/>
          <w:szCs w:val="30"/>
        </w:rPr>
        <w:t>m（水位埋深</w:t>
      </w:r>
      <w:r>
        <w:rPr>
          <w:rFonts w:hint="default" w:ascii="Times New Roman" w:hAnsi="Times New Roman" w:eastAsia="仿宋" w:cs="Times New Roman"/>
          <w:sz w:val="30"/>
          <w:szCs w:val="30"/>
          <w:lang w:val="en-US" w:eastAsia="zh-CN"/>
        </w:rPr>
        <w:t>74.00</w:t>
      </w:r>
      <w:r>
        <w:rPr>
          <w:rFonts w:hint="default" w:ascii="Times New Roman" w:hAnsi="Times New Roman" w:eastAsia="仿宋" w:cs="Times New Roman"/>
          <w:sz w:val="30"/>
          <w:szCs w:val="30"/>
        </w:rPr>
        <w:t>m），漏斗面积</w:t>
      </w:r>
      <w:r>
        <w:rPr>
          <w:rFonts w:hint="default" w:ascii="Times New Roman" w:hAnsi="Times New Roman" w:eastAsia="仿宋" w:cs="Times New Roman"/>
          <w:sz w:val="30"/>
          <w:szCs w:val="30"/>
          <w:lang w:val="en-US" w:eastAsia="zh-CN"/>
        </w:rPr>
        <w:t>508.97</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vertAlign w:val="baseline"/>
          <w:lang w:eastAsia="zh-CN"/>
        </w:rPr>
        <w:t>，</w:t>
      </w:r>
      <w:r>
        <w:rPr>
          <w:rFonts w:hint="default" w:ascii="Times New Roman" w:hAnsi="Times New Roman" w:eastAsia="仿宋" w:cs="Times New Roman"/>
          <w:sz w:val="30"/>
          <w:szCs w:val="30"/>
        </w:rPr>
        <w:t>与去年</w:t>
      </w:r>
      <w:r>
        <w:rPr>
          <w:rFonts w:hint="default" w:ascii="Times New Roman" w:hAnsi="Times New Roman" w:eastAsia="仿宋" w:cs="Times New Roman"/>
          <w:sz w:val="30"/>
          <w:szCs w:val="30"/>
          <w:lang w:val="en-US" w:eastAsia="zh-CN"/>
        </w:rPr>
        <w:t>同期</w:t>
      </w:r>
      <w:r>
        <w:rPr>
          <w:rFonts w:hint="default" w:ascii="Times New Roman" w:hAnsi="Times New Roman" w:eastAsia="仿宋" w:cs="Times New Roman"/>
          <w:sz w:val="30"/>
          <w:szCs w:val="30"/>
        </w:rPr>
        <w:t>相比，漏斗面积减少</w:t>
      </w:r>
      <w:r>
        <w:rPr>
          <w:rFonts w:hint="default" w:ascii="Times New Roman" w:hAnsi="Times New Roman" w:eastAsia="仿宋" w:cs="Times New Roman"/>
          <w:sz w:val="30"/>
          <w:szCs w:val="30"/>
          <w:lang w:val="en-US" w:eastAsia="zh-CN"/>
        </w:rPr>
        <w:t>11.26</w:t>
      </w:r>
      <w:r>
        <w:rPr>
          <w:rFonts w:hint="default" w:ascii="Times New Roman" w:hAnsi="Times New Roman" w:eastAsia="仿宋" w:cs="Times New Roman"/>
          <w:sz w:val="30"/>
          <w:szCs w:val="30"/>
        </w:rPr>
        <w:t>km</w:t>
      </w:r>
      <w:r>
        <w:rPr>
          <w:rFonts w:hint="default" w:ascii="Times New Roman" w:hAnsi="Times New Roman" w:eastAsia="仿宋" w:cs="Times New Roman"/>
          <w:sz w:val="30"/>
          <w:szCs w:val="30"/>
          <w:vertAlign w:val="superscript"/>
        </w:rPr>
        <w:t>2</w:t>
      </w:r>
      <w:r>
        <w:rPr>
          <w:rFonts w:hint="default" w:ascii="Times New Roman" w:hAnsi="Times New Roman" w:eastAsia="仿宋" w:cs="Times New Roman"/>
          <w:sz w:val="30"/>
          <w:szCs w:val="30"/>
        </w:rPr>
        <w:t>。</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年郑州市区浅层和中深层地下水水位和降落漏斗情况详见表</w:t>
      </w:r>
      <w:r>
        <w:rPr>
          <w:rFonts w:hint="default" w:ascii="Times New Roman" w:hAnsi="Times New Roman" w:eastAsia="仿宋" w:cs="Times New Roman"/>
          <w:sz w:val="30"/>
          <w:szCs w:val="30"/>
          <w:lang w:val="en-US" w:eastAsia="zh-CN"/>
        </w:rPr>
        <w:t>10</w:t>
      </w:r>
      <w:r>
        <w:rPr>
          <w:rFonts w:hint="default" w:ascii="Times New Roman" w:hAnsi="Times New Roman" w:eastAsia="仿宋" w:cs="Times New Roman"/>
          <w:sz w:val="30"/>
          <w:szCs w:val="30"/>
        </w:rPr>
        <w:t>、图6、图7、图8、图9。</w:t>
      </w:r>
    </w:p>
    <w:p>
      <w:pPr>
        <w:spacing w:line="360" w:lineRule="auto"/>
        <w:jc w:val="center"/>
        <w:rPr>
          <w:rFonts w:hint="default" w:ascii="Times New Roman" w:hAnsi="Times New Roman" w:eastAsia="仿宋" w:cs="Times New Roman"/>
          <w:sz w:val="30"/>
          <w:szCs w:val="30"/>
        </w:rPr>
      </w:pPr>
      <w:r>
        <w:rPr>
          <w:rFonts w:hint="default" w:ascii="Times New Roman" w:hAnsi="Times New Roman" w:eastAsia="黑体" w:cs="Times New Roman"/>
          <w:kern w:val="0"/>
          <w:sz w:val="28"/>
          <w:szCs w:val="28"/>
        </w:rPr>
        <w:t>表</w:t>
      </w:r>
      <w:r>
        <w:rPr>
          <w:rFonts w:hint="default" w:ascii="Times New Roman" w:hAnsi="Times New Roman" w:eastAsia="黑体" w:cs="Times New Roman"/>
          <w:kern w:val="0"/>
          <w:sz w:val="28"/>
          <w:szCs w:val="28"/>
          <w:lang w:val="en-US" w:eastAsia="zh-CN"/>
        </w:rPr>
        <w:t>10</w:t>
      </w:r>
      <w:r>
        <w:rPr>
          <w:rFonts w:hint="eastAsia" w:eastAsia="黑体" w:cs="Times New Roman"/>
          <w:kern w:val="0"/>
          <w:sz w:val="28"/>
          <w:szCs w:val="28"/>
          <w:lang w:val="en-US" w:eastAsia="zh-CN"/>
        </w:rPr>
        <w:t xml:space="preserve">  </w:t>
      </w:r>
      <w:r>
        <w:rPr>
          <w:rFonts w:hint="default" w:ascii="Times New Roman" w:hAnsi="Times New Roman" w:eastAsia="黑体" w:cs="Times New Roman"/>
          <w:kern w:val="0"/>
          <w:sz w:val="28"/>
          <w:szCs w:val="28"/>
          <w:lang w:eastAsia="zh-CN"/>
        </w:rPr>
        <w:t>2018</w:t>
      </w:r>
      <w:r>
        <w:rPr>
          <w:rFonts w:hint="default" w:ascii="Times New Roman" w:hAnsi="Times New Roman" w:eastAsia="黑体" w:cs="Times New Roman"/>
          <w:kern w:val="0"/>
          <w:sz w:val="28"/>
          <w:szCs w:val="28"/>
        </w:rPr>
        <w:t>年郑州市区地下水降落漏斗情况</w:t>
      </w:r>
    </w:p>
    <w:tbl>
      <w:tblPr>
        <w:tblStyle w:val="23"/>
        <w:tblW w:w="9285" w:type="dxa"/>
        <w:tblInd w:w="108" w:type="dxa"/>
        <w:tblLayout w:type="fixed"/>
        <w:tblCellMar>
          <w:top w:w="0" w:type="dxa"/>
          <w:left w:w="108" w:type="dxa"/>
          <w:bottom w:w="0" w:type="dxa"/>
          <w:right w:w="108" w:type="dxa"/>
        </w:tblCellMar>
      </w:tblPr>
      <w:tblGrid>
        <w:gridCol w:w="737"/>
        <w:gridCol w:w="596"/>
        <w:gridCol w:w="935"/>
        <w:gridCol w:w="1056"/>
        <w:gridCol w:w="2205"/>
        <w:gridCol w:w="816"/>
        <w:gridCol w:w="816"/>
        <w:gridCol w:w="1034"/>
        <w:gridCol w:w="1090"/>
      </w:tblGrid>
      <w:tr>
        <w:tblPrEx>
          <w:tblLayout w:type="fixed"/>
        </w:tblPrEx>
        <w:trPr>
          <w:trHeight w:val="79" w:hRule="atLeast"/>
        </w:trPr>
        <w:tc>
          <w:tcPr>
            <w:tcW w:w="737" w:type="dxa"/>
            <w:vMerge w:val="restart"/>
            <w:tcBorders>
              <w:top w:val="single" w:color="auto" w:sz="12"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地下水层位</w:t>
            </w:r>
          </w:p>
        </w:tc>
        <w:tc>
          <w:tcPr>
            <w:tcW w:w="596"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水期</w:t>
            </w:r>
          </w:p>
        </w:tc>
        <w:tc>
          <w:tcPr>
            <w:tcW w:w="935"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漏斗名称</w:t>
            </w:r>
          </w:p>
        </w:tc>
        <w:tc>
          <w:tcPr>
            <w:tcW w:w="1056"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漏斗面积（km</w:t>
            </w:r>
            <w:r>
              <w:rPr>
                <w:rFonts w:hint="default" w:ascii="Times New Roman" w:hAnsi="Times New Roman" w:eastAsia="仿宋" w:cs="Times New Roman"/>
                <w:kern w:val="0"/>
                <w:sz w:val="24"/>
                <w:vertAlign w:val="superscript"/>
              </w:rPr>
              <w:t>2</w:t>
            </w:r>
            <w:r>
              <w:rPr>
                <w:rFonts w:hint="default" w:ascii="Times New Roman" w:hAnsi="Times New Roman" w:eastAsia="仿宋" w:cs="Times New Roman"/>
                <w:kern w:val="0"/>
                <w:sz w:val="24"/>
              </w:rPr>
              <w:t>）</w:t>
            </w:r>
          </w:p>
        </w:tc>
        <w:tc>
          <w:tcPr>
            <w:tcW w:w="4871" w:type="dxa"/>
            <w:gridSpan w:val="4"/>
            <w:tcBorders>
              <w:top w:val="single" w:color="auto" w:sz="12"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漏斗中心情况</w:t>
            </w:r>
          </w:p>
        </w:tc>
        <w:tc>
          <w:tcPr>
            <w:tcW w:w="1090" w:type="dxa"/>
            <w:vMerge w:val="restart"/>
            <w:tcBorders>
              <w:top w:val="single" w:color="auto" w:sz="12" w:space="0"/>
              <w:left w:val="nil"/>
              <w:bottom w:val="single" w:color="000000"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漏斗中心埋深（m）</w:t>
            </w:r>
          </w:p>
        </w:tc>
      </w:tr>
      <w:tr>
        <w:tblPrEx>
          <w:tblLayout w:type="fixed"/>
          <w:tblCellMar>
            <w:top w:w="0" w:type="dxa"/>
            <w:left w:w="108" w:type="dxa"/>
            <w:bottom w:w="0" w:type="dxa"/>
            <w:right w:w="108" w:type="dxa"/>
          </w:tblCellMar>
        </w:tblPrEx>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935"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1056"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220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位置</w:t>
            </w:r>
          </w:p>
        </w:tc>
        <w:tc>
          <w:tcPr>
            <w:tcW w:w="8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水位（m）</w:t>
            </w:r>
          </w:p>
        </w:tc>
        <w:tc>
          <w:tcPr>
            <w:tcW w:w="8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埋深（m）</w:t>
            </w:r>
          </w:p>
        </w:tc>
        <w:tc>
          <w:tcPr>
            <w:tcW w:w="10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比上年升降（m）</w:t>
            </w:r>
          </w:p>
        </w:tc>
        <w:tc>
          <w:tcPr>
            <w:tcW w:w="1090" w:type="dxa"/>
            <w:vMerge w:val="continue"/>
            <w:tcBorders>
              <w:top w:val="nil"/>
              <w:left w:val="nil"/>
              <w:bottom w:val="single" w:color="000000" w:sz="4" w:space="0"/>
            </w:tcBorders>
            <w:vAlign w:val="center"/>
          </w:tcPr>
          <w:p>
            <w:pPr>
              <w:widowControl/>
              <w:jc w:val="left"/>
              <w:rPr>
                <w:rFonts w:hint="default" w:ascii="Times New Roman" w:hAnsi="Times New Roman" w:eastAsia="仿宋" w:cs="Times New Roman"/>
                <w:kern w:val="0"/>
                <w:sz w:val="24"/>
              </w:rPr>
            </w:pPr>
          </w:p>
        </w:tc>
      </w:tr>
      <w:tr>
        <w:tblPrEx>
          <w:tblLayout w:type="fixed"/>
          <w:tblCellMar>
            <w:top w:w="0" w:type="dxa"/>
            <w:left w:w="108" w:type="dxa"/>
            <w:bottom w:w="0" w:type="dxa"/>
            <w:right w:w="108" w:type="dxa"/>
          </w:tblCellMar>
        </w:tblPrEx>
        <w:trPr>
          <w:trHeight w:val="311" w:hRule="atLeast"/>
        </w:trPr>
        <w:tc>
          <w:tcPr>
            <w:tcW w:w="737" w:type="dxa"/>
            <w:vMerge w:val="continue"/>
            <w:tcBorders>
              <w:top w:val="nil"/>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596"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935"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1056"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2205"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816"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816"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1034"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1090" w:type="dxa"/>
            <w:vMerge w:val="continue"/>
            <w:tcBorders>
              <w:top w:val="nil"/>
              <w:left w:val="nil"/>
              <w:bottom w:val="single" w:color="auto" w:sz="12" w:space="0"/>
            </w:tcBorders>
            <w:vAlign w:val="center"/>
          </w:tcPr>
          <w:p>
            <w:pPr>
              <w:widowControl/>
              <w:jc w:val="left"/>
              <w:rPr>
                <w:rFonts w:hint="default" w:ascii="Times New Roman" w:hAnsi="Times New Roman" w:eastAsia="仿宋" w:cs="Times New Roman"/>
                <w:kern w:val="0"/>
                <w:sz w:val="24"/>
              </w:rPr>
            </w:pPr>
          </w:p>
        </w:tc>
      </w:tr>
      <w:tr>
        <w:tblPrEx>
          <w:tblLayout w:type="fixed"/>
          <w:tblCellMar>
            <w:top w:w="0" w:type="dxa"/>
            <w:left w:w="108" w:type="dxa"/>
            <w:bottom w:w="0" w:type="dxa"/>
            <w:right w:w="108" w:type="dxa"/>
          </w:tblCellMar>
        </w:tblPrEx>
        <w:trPr>
          <w:trHeight w:val="623" w:hRule="atLeast"/>
        </w:trPr>
        <w:tc>
          <w:tcPr>
            <w:tcW w:w="737" w:type="dxa"/>
            <w:vMerge w:val="restart"/>
            <w:tcBorders>
              <w:top w:val="single" w:color="auto" w:sz="12"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浅层</w:t>
            </w:r>
          </w:p>
        </w:tc>
        <w:tc>
          <w:tcPr>
            <w:tcW w:w="596"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枯水期</w:t>
            </w:r>
          </w:p>
        </w:tc>
        <w:tc>
          <w:tcPr>
            <w:tcW w:w="935"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东漏斗区</w:t>
            </w:r>
          </w:p>
        </w:tc>
        <w:tc>
          <w:tcPr>
            <w:tcW w:w="1056"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304.88</w:t>
            </w:r>
          </w:p>
        </w:tc>
        <w:tc>
          <w:tcPr>
            <w:tcW w:w="2205"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郑东新区龙子湖外环平安大道附近</w:t>
            </w:r>
          </w:p>
        </w:tc>
        <w:tc>
          <w:tcPr>
            <w:tcW w:w="816"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64.57</w:t>
            </w:r>
          </w:p>
        </w:tc>
        <w:tc>
          <w:tcPr>
            <w:tcW w:w="816"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19.81</w:t>
            </w:r>
          </w:p>
        </w:tc>
        <w:tc>
          <w:tcPr>
            <w:tcW w:w="1034"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1.22</w:t>
            </w:r>
          </w:p>
        </w:tc>
        <w:tc>
          <w:tcPr>
            <w:tcW w:w="1090" w:type="dxa"/>
            <w:tcBorders>
              <w:top w:val="single" w:color="auto" w:sz="12" w:space="0"/>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18.59</w:t>
            </w:r>
          </w:p>
        </w:tc>
      </w:tr>
      <w:tr>
        <w:tblPrEx>
          <w:tblLayout w:type="fixed"/>
          <w:tblCellMar>
            <w:top w:w="0" w:type="dxa"/>
            <w:left w:w="108" w:type="dxa"/>
            <w:bottom w:w="0" w:type="dxa"/>
            <w:right w:w="108" w:type="dxa"/>
          </w:tblCellMar>
        </w:tblPrEx>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西漏斗区</w:t>
            </w:r>
          </w:p>
        </w:tc>
        <w:tc>
          <w:tcPr>
            <w:tcW w:w="10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118.97</w:t>
            </w:r>
          </w:p>
        </w:tc>
        <w:tc>
          <w:tcPr>
            <w:tcW w:w="22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荥阳市广武镇黑里村附近</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64.18</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38.85</w:t>
            </w:r>
          </w:p>
        </w:tc>
        <w:tc>
          <w:tcPr>
            <w:tcW w:w="103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-1.36</w:t>
            </w:r>
          </w:p>
        </w:tc>
        <w:tc>
          <w:tcPr>
            <w:tcW w:w="1090"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40.21</w:t>
            </w:r>
          </w:p>
        </w:tc>
      </w:tr>
      <w:tr>
        <w:tblPrEx>
          <w:tblLayout w:type="fixed"/>
          <w:tblCellMar>
            <w:top w:w="0" w:type="dxa"/>
            <w:left w:w="108" w:type="dxa"/>
            <w:bottom w:w="0" w:type="dxa"/>
            <w:right w:w="108" w:type="dxa"/>
          </w:tblCellMar>
        </w:tblPrEx>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小计</w:t>
            </w:r>
          </w:p>
        </w:tc>
        <w:tc>
          <w:tcPr>
            <w:tcW w:w="10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423.85</w:t>
            </w:r>
          </w:p>
        </w:tc>
        <w:tc>
          <w:tcPr>
            <w:tcW w:w="2205" w:type="dxa"/>
            <w:tcBorders>
              <w:top w:val="nil"/>
              <w:left w:val="nil"/>
              <w:bottom w:val="single" w:color="auto" w:sz="4" w:space="0"/>
              <w:right w:val="single" w:color="auto" w:sz="4" w:space="0"/>
            </w:tcBorders>
            <w:shd w:val="clear" w:color="auto" w:fill="auto"/>
            <w:vAlign w:val="center"/>
          </w:tcPr>
          <w:p>
            <w:pPr>
              <w:jc w:val="left"/>
              <w:rPr>
                <w:rFonts w:hint="default" w:ascii="Times New Roman" w:hAnsi="Times New Roman" w:eastAsia="仿宋" w:cs="Times New Roman"/>
                <w:kern w:val="0"/>
                <w:sz w:val="24"/>
              </w:rPr>
            </w:pPr>
          </w:p>
        </w:tc>
        <w:tc>
          <w:tcPr>
            <w:tcW w:w="81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1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90" w:type="dxa"/>
            <w:tcBorders>
              <w:top w:val="nil"/>
              <w:left w:val="nil"/>
              <w:bottom w:val="single" w:color="auto" w:sz="4" w:space="0"/>
            </w:tcBorders>
            <w:shd w:val="clear" w:color="auto" w:fill="auto"/>
            <w:vAlign w:val="center"/>
          </w:tcPr>
          <w:p>
            <w:pPr>
              <w:jc w:val="center"/>
              <w:rPr>
                <w:rFonts w:hint="default" w:ascii="Times New Roman" w:hAnsi="Times New Roman" w:eastAsia="仿宋" w:cs="Times New Roman"/>
                <w:kern w:val="0"/>
                <w:sz w:val="24"/>
              </w:rPr>
            </w:pPr>
          </w:p>
        </w:tc>
      </w:tr>
      <w:tr>
        <w:tblPrEx>
          <w:tblLayout w:type="fixed"/>
          <w:tblCellMar>
            <w:top w:w="0" w:type="dxa"/>
            <w:left w:w="108" w:type="dxa"/>
            <w:bottom w:w="0" w:type="dxa"/>
            <w:right w:w="108" w:type="dxa"/>
          </w:tblCellMar>
        </w:tblPrEx>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59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丰水期</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东漏斗区</w:t>
            </w:r>
          </w:p>
        </w:tc>
        <w:tc>
          <w:tcPr>
            <w:tcW w:w="10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lang w:val="en-US" w:eastAsia="zh-CN"/>
              </w:rPr>
            </w:pPr>
            <w:r>
              <w:rPr>
                <w:rFonts w:hint="default" w:ascii="Times New Roman" w:hAnsi="Times New Roman" w:eastAsia="仿宋" w:cs="Times New Roman"/>
                <w:i w:val="0"/>
                <w:color w:val="000000"/>
                <w:kern w:val="0"/>
                <w:sz w:val="24"/>
                <w:szCs w:val="24"/>
                <w:u w:val="none"/>
                <w:lang w:val="en-US" w:eastAsia="zh-CN" w:bidi="ar"/>
              </w:rPr>
              <w:t>322.17</w:t>
            </w:r>
          </w:p>
        </w:tc>
        <w:tc>
          <w:tcPr>
            <w:tcW w:w="22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郑东新区龙子湖外环平安大道附近</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65.74</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18.64</w:t>
            </w:r>
          </w:p>
        </w:tc>
        <w:tc>
          <w:tcPr>
            <w:tcW w:w="103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3.82</w:t>
            </w:r>
          </w:p>
        </w:tc>
        <w:tc>
          <w:tcPr>
            <w:tcW w:w="1090"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14.82</w:t>
            </w:r>
          </w:p>
        </w:tc>
      </w:tr>
      <w:tr>
        <w:tblPrEx>
          <w:tblLayout w:type="fixed"/>
          <w:tblCellMar>
            <w:top w:w="0" w:type="dxa"/>
            <w:left w:w="108" w:type="dxa"/>
            <w:bottom w:w="0" w:type="dxa"/>
            <w:right w:w="108" w:type="dxa"/>
          </w:tblCellMar>
        </w:tblPrEx>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西漏斗区</w:t>
            </w:r>
          </w:p>
        </w:tc>
        <w:tc>
          <w:tcPr>
            <w:tcW w:w="10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lang w:val="en-US" w:eastAsia="zh-CN"/>
              </w:rPr>
            </w:pPr>
            <w:r>
              <w:rPr>
                <w:rFonts w:hint="default" w:ascii="Times New Roman" w:hAnsi="Times New Roman" w:eastAsia="仿宋" w:cs="Times New Roman"/>
                <w:i w:val="0"/>
                <w:color w:val="000000"/>
                <w:kern w:val="0"/>
                <w:sz w:val="24"/>
                <w:szCs w:val="24"/>
                <w:u w:val="none"/>
                <w:lang w:val="en-US" w:eastAsia="zh-CN" w:bidi="ar"/>
              </w:rPr>
              <w:t>120.72</w:t>
            </w:r>
          </w:p>
        </w:tc>
        <w:tc>
          <w:tcPr>
            <w:tcW w:w="22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荥阳市广武镇黑里村附近</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62.69</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40.34</w:t>
            </w:r>
          </w:p>
        </w:tc>
        <w:tc>
          <w:tcPr>
            <w:tcW w:w="103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0.78</w:t>
            </w:r>
          </w:p>
        </w:tc>
        <w:tc>
          <w:tcPr>
            <w:tcW w:w="1090"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39.56</w:t>
            </w:r>
          </w:p>
        </w:tc>
      </w:tr>
      <w:tr>
        <w:tblPrEx>
          <w:tblLayout w:type="fixed"/>
          <w:tblCellMar>
            <w:top w:w="0" w:type="dxa"/>
            <w:left w:w="108" w:type="dxa"/>
            <w:bottom w:w="0" w:type="dxa"/>
            <w:right w:w="108" w:type="dxa"/>
          </w:tblCellMar>
        </w:tblPrEx>
        <w:trPr>
          <w:trHeight w:val="623" w:hRule="atLeast"/>
        </w:trPr>
        <w:tc>
          <w:tcPr>
            <w:tcW w:w="737" w:type="dxa"/>
            <w:vMerge w:val="continue"/>
            <w:tcBorders>
              <w:top w:val="nil"/>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596"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小计</w:t>
            </w:r>
          </w:p>
        </w:tc>
        <w:tc>
          <w:tcPr>
            <w:tcW w:w="10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lang w:val="en-US" w:eastAsia="zh-CN"/>
              </w:rPr>
            </w:pPr>
            <w:r>
              <w:rPr>
                <w:rFonts w:hint="default" w:ascii="Times New Roman" w:hAnsi="Times New Roman" w:eastAsia="仿宋" w:cs="Times New Roman"/>
                <w:i w:val="0"/>
                <w:color w:val="000000"/>
                <w:kern w:val="0"/>
                <w:sz w:val="24"/>
                <w:szCs w:val="24"/>
                <w:u w:val="none"/>
                <w:lang w:val="en-US" w:eastAsia="zh-CN" w:bidi="ar"/>
              </w:rPr>
              <w:t>442.89</w:t>
            </w:r>
          </w:p>
        </w:tc>
        <w:tc>
          <w:tcPr>
            <w:tcW w:w="2205" w:type="dxa"/>
            <w:tcBorders>
              <w:top w:val="nil"/>
              <w:left w:val="nil"/>
              <w:bottom w:val="single" w:color="auto" w:sz="4" w:space="0"/>
              <w:right w:val="single" w:color="auto" w:sz="4" w:space="0"/>
            </w:tcBorders>
            <w:shd w:val="clear" w:color="auto" w:fill="auto"/>
            <w:vAlign w:val="center"/>
          </w:tcPr>
          <w:p>
            <w:pPr>
              <w:jc w:val="left"/>
              <w:rPr>
                <w:rFonts w:hint="default" w:ascii="Times New Roman" w:hAnsi="Times New Roman" w:eastAsia="仿宋" w:cs="Times New Roman"/>
                <w:kern w:val="0"/>
                <w:sz w:val="24"/>
              </w:rPr>
            </w:pPr>
          </w:p>
        </w:tc>
        <w:tc>
          <w:tcPr>
            <w:tcW w:w="81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816"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34"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 w:cs="Times New Roman"/>
                <w:kern w:val="0"/>
                <w:sz w:val="24"/>
              </w:rPr>
            </w:pPr>
          </w:p>
        </w:tc>
        <w:tc>
          <w:tcPr>
            <w:tcW w:w="1090" w:type="dxa"/>
            <w:tcBorders>
              <w:top w:val="nil"/>
              <w:left w:val="nil"/>
              <w:bottom w:val="single" w:color="auto" w:sz="4" w:space="0"/>
            </w:tcBorders>
            <w:shd w:val="clear" w:color="auto" w:fill="auto"/>
            <w:vAlign w:val="center"/>
          </w:tcPr>
          <w:p>
            <w:pPr>
              <w:jc w:val="center"/>
              <w:rPr>
                <w:rFonts w:hint="default" w:ascii="Times New Roman" w:hAnsi="Times New Roman" w:eastAsia="仿宋" w:cs="Times New Roman"/>
                <w:kern w:val="0"/>
                <w:sz w:val="24"/>
              </w:rPr>
            </w:pPr>
          </w:p>
        </w:tc>
      </w:tr>
      <w:tr>
        <w:tblPrEx>
          <w:tblLayout w:type="fixed"/>
        </w:tblPrEx>
        <w:trPr>
          <w:trHeight w:val="623" w:hRule="atLeast"/>
        </w:trPr>
        <w:tc>
          <w:tcPr>
            <w:tcW w:w="737" w:type="dxa"/>
            <w:vMerge w:val="restart"/>
            <w:tcBorders>
              <w:top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中深层</w:t>
            </w:r>
          </w:p>
        </w:tc>
        <w:tc>
          <w:tcPr>
            <w:tcW w:w="153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枯水期</w:t>
            </w:r>
          </w:p>
        </w:tc>
        <w:tc>
          <w:tcPr>
            <w:tcW w:w="10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458.75</w:t>
            </w:r>
          </w:p>
        </w:tc>
        <w:tc>
          <w:tcPr>
            <w:tcW w:w="22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管城区机场高速郑州南收费站附近</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31.83</w:t>
            </w:r>
          </w:p>
        </w:tc>
        <w:tc>
          <w:tcPr>
            <w:tcW w:w="8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72.74</w:t>
            </w:r>
          </w:p>
        </w:tc>
        <w:tc>
          <w:tcPr>
            <w:tcW w:w="103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-8.56</w:t>
            </w:r>
          </w:p>
        </w:tc>
        <w:tc>
          <w:tcPr>
            <w:tcW w:w="1090"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81.30</w:t>
            </w:r>
          </w:p>
        </w:tc>
      </w:tr>
      <w:tr>
        <w:tblPrEx>
          <w:tblLayout w:type="fixed"/>
          <w:tblCellMar>
            <w:top w:w="0" w:type="dxa"/>
            <w:left w:w="108" w:type="dxa"/>
            <w:bottom w:w="0" w:type="dxa"/>
            <w:right w:w="108" w:type="dxa"/>
          </w:tblCellMar>
        </w:tblPrEx>
        <w:trPr>
          <w:trHeight w:val="623" w:hRule="atLeast"/>
        </w:trPr>
        <w:tc>
          <w:tcPr>
            <w:tcW w:w="737" w:type="dxa"/>
            <w:vMerge w:val="continue"/>
            <w:tcBorders>
              <w:top w:val="nil"/>
              <w:bottom w:val="single" w:color="auto" w:sz="12" w:space="0"/>
              <w:right w:val="single" w:color="auto" w:sz="4" w:space="0"/>
            </w:tcBorders>
            <w:vAlign w:val="center"/>
          </w:tcPr>
          <w:p>
            <w:pPr>
              <w:widowControl/>
              <w:jc w:val="left"/>
              <w:rPr>
                <w:rFonts w:hint="default" w:ascii="Times New Roman" w:hAnsi="Times New Roman" w:eastAsia="仿宋" w:cs="Times New Roman"/>
                <w:kern w:val="0"/>
                <w:sz w:val="24"/>
              </w:rPr>
            </w:pPr>
          </w:p>
        </w:tc>
        <w:tc>
          <w:tcPr>
            <w:tcW w:w="1531" w:type="dxa"/>
            <w:gridSpan w:val="2"/>
            <w:tcBorders>
              <w:top w:val="single" w:color="auto" w:sz="4" w:space="0"/>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丰水期</w:t>
            </w:r>
          </w:p>
        </w:tc>
        <w:tc>
          <w:tcPr>
            <w:tcW w:w="1056"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508.97</w:t>
            </w:r>
          </w:p>
        </w:tc>
        <w:tc>
          <w:tcPr>
            <w:tcW w:w="2205"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管城区机场高速郑州南收费站附近</w:t>
            </w:r>
          </w:p>
        </w:tc>
        <w:tc>
          <w:tcPr>
            <w:tcW w:w="816"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30.75</w:t>
            </w:r>
          </w:p>
        </w:tc>
        <w:tc>
          <w:tcPr>
            <w:tcW w:w="816"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74.00</w:t>
            </w:r>
          </w:p>
        </w:tc>
        <w:tc>
          <w:tcPr>
            <w:tcW w:w="1034"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-2.37</w:t>
            </w:r>
          </w:p>
        </w:tc>
        <w:tc>
          <w:tcPr>
            <w:tcW w:w="1090" w:type="dxa"/>
            <w:tcBorders>
              <w:top w:val="nil"/>
              <w:left w:val="nil"/>
              <w:bottom w:val="single" w:color="auto"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76.37</w:t>
            </w:r>
          </w:p>
        </w:tc>
      </w:tr>
    </w:tbl>
    <w:p>
      <w:pPr>
        <w:spacing w:line="360" w:lineRule="auto"/>
        <w:jc w:val="left"/>
        <w:rPr>
          <w:rFonts w:hint="default" w:ascii="Times New Roman" w:hAnsi="Times New Roman" w:eastAsia="仿宋" w:cs="Times New Roman"/>
          <w:kern w:val="0"/>
          <w:sz w:val="24"/>
        </w:rPr>
      </w:pPr>
      <w:r>
        <w:rPr>
          <w:rFonts w:hint="default" w:ascii="Times New Roman" w:hAnsi="Times New Roman" w:eastAsia="仿宋" w:cs="Times New Roman"/>
          <w:kern w:val="0"/>
          <w:sz w:val="24"/>
        </w:rPr>
        <w:t>注：“比上年升降”为</w:t>
      </w:r>
      <w:r>
        <w:rPr>
          <w:rFonts w:hint="default" w:ascii="Times New Roman" w:hAnsi="Times New Roman" w:eastAsia="仿宋" w:cs="Times New Roman"/>
          <w:kern w:val="0"/>
          <w:sz w:val="24"/>
          <w:lang w:eastAsia="zh-CN"/>
        </w:rPr>
        <w:t>2018</w:t>
      </w:r>
      <w:r>
        <w:rPr>
          <w:rFonts w:hint="default" w:ascii="Times New Roman" w:hAnsi="Times New Roman" w:eastAsia="仿宋" w:cs="Times New Roman"/>
          <w:kern w:val="0"/>
          <w:sz w:val="24"/>
        </w:rPr>
        <w:t>年不同水期漏斗中心埋深减去201</w:t>
      </w:r>
      <w:r>
        <w:rPr>
          <w:rFonts w:hint="default" w:ascii="Times New Roman" w:hAnsi="Times New Roman" w:eastAsia="仿宋" w:cs="Times New Roman"/>
          <w:kern w:val="0"/>
          <w:sz w:val="24"/>
          <w:lang w:val="en-US" w:eastAsia="zh-CN"/>
        </w:rPr>
        <w:t>7</w:t>
      </w:r>
      <w:r>
        <w:rPr>
          <w:rFonts w:hint="default" w:ascii="Times New Roman" w:hAnsi="Times New Roman" w:eastAsia="仿宋" w:cs="Times New Roman"/>
          <w:kern w:val="0"/>
          <w:sz w:val="24"/>
        </w:rPr>
        <w:t>年同期，负值为埋深上升，反之为下降。</w:t>
      </w:r>
    </w:p>
    <w:p>
      <w:pPr>
        <w:spacing w:line="360" w:lineRule="auto"/>
        <w:jc w:val="left"/>
        <w:rPr>
          <w:rFonts w:hint="default" w:ascii="Times New Roman" w:hAnsi="Times New Roman" w:eastAsia="仿宋" w:cs="Times New Roman"/>
          <w:kern w:val="0"/>
          <w:sz w:val="24"/>
        </w:rPr>
      </w:pPr>
    </w:p>
    <w:p>
      <w:pPr>
        <w:spacing w:line="360" w:lineRule="auto"/>
        <w:ind w:left="0" w:leftChars="0" w:firstLine="0" w:firstLineChars="0"/>
        <w:jc w:val="left"/>
        <w:sectPr>
          <w:footerReference r:id="rId10" w:type="default"/>
          <w:footerReference r:id="rId11" w:type="even"/>
          <w:type w:val="continuous"/>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spacing w:line="360" w:lineRule="auto"/>
        <w:ind w:left="0" w:leftChars="0" w:firstLine="0" w:firstLineChars="0"/>
        <w:jc w:val="left"/>
      </w:pPr>
    </w:p>
    <w:p>
      <w:pPr>
        <w:spacing w:line="360" w:lineRule="auto"/>
        <w:ind w:left="0" w:leftChars="0" w:firstLine="0" w:firstLineChars="0"/>
        <w:jc w:val="left"/>
      </w:pPr>
    </w:p>
    <w:p>
      <w:pPr>
        <w:spacing w:line="360" w:lineRule="auto"/>
        <w:ind w:left="0" w:leftChars="0" w:firstLine="0" w:firstLineChars="0"/>
        <w:jc w:val="left"/>
        <w:rPr>
          <w:rFonts w:hint="default" w:ascii="Times New Roman" w:hAnsi="Times New Roman" w:eastAsia="仿宋" w:cs="Times New Roman"/>
          <w:sz w:val="30"/>
          <w:szCs w:val="30"/>
          <w:lang w:eastAsia="zh-CN"/>
        </w:rPr>
      </w:pPr>
      <w:r>
        <w:drawing>
          <wp:inline distT="0" distB="0" distL="114300" distR="114300">
            <wp:extent cx="5904230" cy="6680200"/>
            <wp:effectExtent l="0" t="0" r="1270" b="6350"/>
            <wp:docPr id="16" name="图片 3" descr="201805浅层等水位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201805浅层等水位线"/>
                    <pic:cNvPicPr>
                      <a:picLocks noChangeAspect="1"/>
                    </pic:cNvPicPr>
                  </pic:nvPicPr>
                  <pic:blipFill>
                    <a:blip r:embed="rId21"/>
                    <a:srcRect t="1584" b="3285"/>
                    <a:stretch>
                      <a:fillRect/>
                    </a:stretch>
                  </pic:blipFill>
                  <pic:spPr>
                    <a:xfrm>
                      <a:off x="0" y="0"/>
                      <a:ext cx="5904230" cy="6680200"/>
                    </a:xfrm>
                    <a:prstGeom prst="rect">
                      <a:avLst/>
                    </a:prstGeom>
                    <a:noFill/>
                    <a:ln>
                      <a:noFill/>
                    </a:ln>
                  </pic:spPr>
                </pic:pic>
              </a:graphicData>
            </a:graphic>
          </wp:inline>
        </w:drawing>
      </w:r>
    </w:p>
    <w:p>
      <w:pPr>
        <w:spacing w:line="360" w:lineRule="auto"/>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图6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年郑州市区浅层地下水枯水期水位等值线图</w:t>
      </w:r>
    </w:p>
    <w:p>
      <w:pPr>
        <w:spacing w:line="360" w:lineRule="auto"/>
        <w:jc w:val="center"/>
        <w:rPr>
          <w:rFonts w:hint="default" w:ascii="Times New Roman" w:hAnsi="Times New Roman" w:eastAsia="黑体" w:cs="Times New Roman"/>
          <w:bCs/>
          <w:sz w:val="28"/>
          <w:szCs w:val="28"/>
        </w:rPr>
      </w:pPr>
    </w:p>
    <w:p>
      <w:pPr>
        <w:jc w:val="center"/>
        <w:rPr>
          <w:rFonts w:hint="default" w:ascii="Times New Roman" w:hAnsi="Times New Roman" w:eastAsia="黑体" w:cs="Times New Roman"/>
          <w:bCs/>
          <w:sz w:val="28"/>
          <w:szCs w:val="28"/>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spacing w:line="360" w:lineRule="auto"/>
        <w:jc w:val="left"/>
        <w:rPr>
          <w:rFonts w:hint="default" w:ascii="Times New Roman" w:hAnsi="Times New Roman" w:eastAsia="仿宋" w:cs="Times New Roman"/>
          <w:sz w:val="30"/>
          <w:szCs w:val="30"/>
        </w:rPr>
      </w:pPr>
    </w:p>
    <w:p>
      <w:pPr>
        <w:spacing w:line="360" w:lineRule="auto"/>
        <w:jc w:val="left"/>
        <w:rPr>
          <w:rFonts w:hint="default" w:ascii="Times New Roman" w:hAnsi="Times New Roman" w:eastAsia="仿宋" w:cs="Times New Roman"/>
          <w:sz w:val="30"/>
          <w:szCs w:val="30"/>
          <w:lang w:eastAsia="zh-CN"/>
        </w:rPr>
      </w:pPr>
      <w:r>
        <w:drawing>
          <wp:inline distT="0" distB="0" distL="114300" distR="114300">
            <wp:extent cx="5969635" cy="7004685"/>
            <wp:effectExtent l="0" t="0" r="12065" b="5715"/>
            <wp:docPr id="17" name="图片 4" descr="201809浅层等水位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201809浅层等水位线"/>
                    <pic:cNvPicPr>
                      <a:picLocks noChangeAspect="1"/>
                    </pic:cNvPicPr>
                  </pic:nvPicPr>
                  <pic:blipFill>
                    <a:blip r:embed="rId22"/>
                    <a:srcRect l="1891" t="1889" r="2626" b="3891"/>
                    <a:stretch>
                      <a:fillRect/>
                    </a:stretch>
                  </pic:blipFill>
                  <pic:spPr>
                    <a:xfrm>
                      <a:off x="0" y="0"/>
                      <a:ext cx="5969635" cy="7004685"/>
                    </a:xfrm>
                    <a:prstGeom prst="rect">
                      <a:avLst/>
                    </a:prstGeom>
                    <a:noFill/>
                    <a:ln>
                      <a:noFill/>
                    </a:ln>
                  </pic:spPr>
                </pic:pic>
              </a:graphicData>
            </a:graphic>
          </wp:inline>
        </w:drawing>
      </w:r>
    </w:p>
    <w:p>
      <w:pPr>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图7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年郑州市区浅层地下水丰水期水位等值线图</w:t>
      </w:r>
    </w:p>
    <w:p>
      <w:pPr>
        <w:spacing w:line="360" w:lineRule="auto"/>
        <w:jc w:val="left"/>
        <w:rPr>
          <w:rFonts w:hint="default" w:ascii="Times New Roman" w:hAnsi="Times New Roman" w:eastAsia="仿宋" w:cs="Times New Roman"/>
          <w:sz w:val="30"/>
          <w:szCs w:val="30"/>
        </w:rPr>
      </w:pPr>
    </w:p>
    <w:p>
      <w:pPr>
        <w:spacing w:line="360" w:lineRule="auto"/>
        <w:jc w:val="left"/>
        <w:rPr>
          <w:rFonts w:hint="default" w:ascii="Times New Roman" w:hAnsi="Times New Roman" w:eastAsia="仿宋" w:cs="Times New Roman"/>
          <w:sz w:val="30"/>
          <w:szCs w:val="30"/>
        </w:rPr>
      </w:pPr>
    </w:p>
    <w:p>
      <w:pPr>
        <w:spacing w:line="360" w:lineRule="auto"/>
        <w:jc w:val="left"/>
        <w:rPr>
          <w:rFonts w:hint="default" w:ascii="Times New Roman" w:hAnsi="Times New Roman" w:eastAsia="仿宋" w:cs="Times New Roman"/>
          <w:sz w:val="30"/>
          <w:szCs w:val="30"/>
        </w:rPr>
      </w:pPr>
    </w:p>
    <w:p>
      <w:pPr>
        <w:spacing w:line="360" w:lineRule="auto"/>
        <w:jc w:val="left"/>
        <w:rPr>
          <w:rFonts w:hint="default" w:ascii="Times New Roman" w:hAnsi="Times New Roman" w:eastAsia="仿宋" w:cs="Times New Roman"/>
          <w:sz w:val="30"/>
          <w:szCs w:val="30"/>
        </w:rPr>
      </w:pPr>
    </w:p>
    <w:p>
      <w:pPr>
        <w:spacing w:line="360" w:lineRule="auto"/>
        <w:jc w:val="left"/>
        <w:rPr>
          <w:rFonts w:hint="default" w:ascii="Times New Roman" w:hAnsi="Times New Roman" w:eastAsia="仿宋" w:cs="Times New Roman"/>
          <w:sz w:val="30"/>
          <w:szCs w:val="30"/>
          <w:lang w:eastAsia="zh-CN"/>
        </w:rPr>
      </w:pPr>
    </w:p>
    <w:p>
      <w:pPr>
        <w:spacing w:line="360" w:lineRule="auto"/>
        <w:jc w:val="left"/>
        <w:rPr>
          <w:rFonts w:hint="default" w:ascii="Times New Roman" w:hAnsi="Times New Roman" w:eastAsia="仿宋" w:cs="Times New Roman"/>
          <w:sz w:val="30"/>
          <w:szCs w:val="30"/>
          <w:lang w:eastAsia="zh-CN"/>
        </w:rPr>
      </w:pPr>
      <w:r>
        <w:drawing>
          <wp:inline distT="0" distB="0" distL="114300" distR="114300">
            <wp:extent cx="5966460" cy="7092315"/>
            <wp:effectExtent l="0" t="0" r="15240" b="13335"/>
            <wp:docPr id="18" name="图片 5" descr="201805中深层等水位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201805中深层等水位线"/>
                    <pic:cNvPicPr>
                      <a:picLocks noChangeAspect="1"/>
                    </pic:cNvPicPr>
                  </pic:nvPicPr>
                  <pic:blipFill>
                    <a:blip r:embed="rId23"/>
                    <a:srcRect l="2205" t="1541" r="2931" b="3467"/>
                    <a:stretch>
                      <a:fillRect/>
                    </a:stretch>
                  </pic:blipFill>
                  <pic:spPr>
                    <a:xfrm>
                      <a:off x="0" y="0"/>
                      <a:ext cx="5966460" cy="7092315"/>
                    </a:xfrm>
                    <a:prstGeom prst="rect">
                      <a:avLst/>
                    </a:prstGeom>
                    <a:noFill/>
                    <a:ln>
                      <a:noFill/>
                    </a:ln>
                  </pic:spPr>
                </pic:pic>
              </a:graphicData>
            </a:graphic>
          </wp:inline>
        </w:drawing>
      </w:r>
    </w:p>
    <w:p>
      <w:pPr>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图8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年郑州市区中深层地下水枯水期水位等值线图</w:t>
      </w:r>
    </w:p>
    <w:p>
      <w:pPr>
        <w:spacing w:line="360" w:lineRule="auto"/>
        <w:jc w:val="left"/>
        <w:rPr>
          <w:rFonts w:hint="default" w:ascii="Times New Roman" w:hAnsi="Times New Roman" w:eastAsia="仿宋" w:cs="Times New Roman"/>
          <w:sz w:val="30"/>
          <w:szCs w:val="30"/>
        </w:rPr>
      </w:pPr>
    </w:p>
    <w:p>
      <w:pPr>
        <w:spacing w:line="360" w:lineRule="auto"/>
        <w:jc w:val="left"/>
        <w:rPr>
          <w:rFonts w:hint="default" w:ascii="Times New Roman" w:hAnsi="Times New Roman" w:eastAsia="仿宋" w:cs="Times New Roman"/>
          <w:sz w:val="30"/>
          <w:szCs w:val="30"/>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spacing w:line="360" w:lineRule="auto"/>
        <w:jc w:val="left"/>
        <w:rPr>
          <w:rFonts w:hint="default" w:ascii="Times New Roman" w:hAnsi="Times New Roman" w:eastAsia="仿宋" w:cs="Times New Roman"/>
          <w:sz w:val="30"/>
          <w:szCs w:val="30"/>
        </w:rPr>
      </w:pPr>
    </w:p>
    <w:p>
      <w:pPr>
        <w:spacing w:line="360" w:lineRule="auto"/>
        <w:jc w:val="left"/>
        <w:rPr>
          <w:rFonts w:hint="default" w:ascii="Times New Roman" w:hAnsi="Times New Roman" w:eastAsia="仿宋" w:cs="Times New Roman"/>
          <w:sz w:val="30"/>
          <w:szCs w:val="30"/>
          <w:lang w:eastAsia="zh-CN"/>
        </w:rPr>
      </w:pPr>
      <w:r>
        <w:drawing>
          <wp:inline distT="0" distB="0" distL="114300" distR="114300">
            <wp:extent cx="6026150" cy="7115175"/>
            <wp:effectExtent l="0" t="0" r="12700" b="9525"/>
            <wp:docPr id="19" name="图片 6" descr="201809中深层等水位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201809中深层等水位线"/>
                    <pic:cNvPicPr>
                      <a:picLocks noChangeAspect="1"/>
                    </pic:cNvPicPr>
                  </pic:nvPicPr>
                  <pic:blipFill>
                    <a:blip r:embed="rId24"/>
                    <a:srcRect l="2145" t="1744" r="2773" b="3741"/>
                    <a:stretch>
                      <a:fillRect/>
                    </a:stretch>
                  </pic:blipFill>
                  <pic:spPr>
                    <a:xfrm>
                      <a:off x="0" y="0"/>
                      <a:ext cx="6026150" cy="7115175"/>
                    </a:xfrm>
                    <a:prstGeom prst="rect">
                      <a:avLst/>
                    </a:prstGeom>
                    <a:noFill/>
                    <a:ln>
                      <a:noFill/>
                    </a:ln>
                  </pic:spPr>
                </pic:pic>
              </a:graphicData>
            </a:graphic>
          </wp:inline>
        </w:drawing>
      </w:r>
    </w:p>
    <w:p>
      <w:pPr>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图9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年郑州市区中深层地下水丰水期水位等值线图</w:t>
      </w:r>
    </w:p>
    <w:p>
      <w:pPr>
        <w:rPr>
          <w:rFonts w:hint="default" w:ascii="Times New Roman" w:hAnsi="Times New Roman" w:cs="Times New Roman"/>
        </w:rPr>
      </w:pPr>
    </w:p>
    <w:p>
      <w:pPr>
        <w:rPr>
          <w:rFonts w:hint="default" w:ascii="Times New Roman" w:hAnsi="Times New Roman" w:cs="Times New Roman"/>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pStyle w:val="3"/>
        <w:spacing w:before="0" w:after="0" w:line="360" w:lineRule="auto"/>
        <w:jc w:val="center"/>
        <w:rPr>
          <w:rFonts w:hint="default" w:ascii="Times New Roman" w:hAnsi="Times New Roman" w:eastAsia="黑体" w:cs="Times New Roman"/>
          <w:b w:val="0"/>
        </w:rPr>
      </w:pPr>
      <w:bookmarkStart w:id="24" w:name="_Toc10280"/>
      <w:r>
        <w:rPr>
          <w:rFonts w:hint="default" w:ascii="Times New Roman" w:hAnsi="Times New Roman" w:eastAsia="黑体" w:cs="Times New Roman"/>
          <w:b w:val="0"/>
        </w:rPr>
        <w:t>4 水资源利用</w:t>
      </w:r>
      <w:bookmarkEnd w:id="24"/>
    </w:p>
    <w:p>
      <w:pPr>
        <w:pStyle w:val="4"/>
        <w:spacing w:before="0" w:after="0" w:line="360" w:lineRule="auto"/>
        <w:jc w:val="left"/>
        <w:rPr>
          <w:rFonts w:hint="default" w:ascii="Times New Roman" w:hAnsi="Times New Roman" w:cs="Times New Roman"/>
          <w:b w:val="0"/>
        </w:rPr>
      </w:pPr>
      <w:bookmarkStart w:id="25" w:name="_Toc7695"/>
      <w:r>
        <w:rPr>
          <w:rFonts w:hint="default" w:ascii="Times New Roman" w:hAnsi="Times New Roman" w:cs="Times New Roman"/>
          <w:b w:val="0"/>
        </w:rPr>
        <w:t>4.1 供水量</w:t>
      </w:r>
      <w:bookmarkEnd w:id="25"/>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年郑州全市总供水量为</w:t>
      </w:r>
      <w:r>
        <w:rPr>
          <w:rFonts w:hint="eastAsia" w:eastAsia="仿宋" w:cs="Times New Roman"/>
          <w:sz w:val="30"/>
          <w:szCs w:val="30"/>
          <w:lang w:val="en-US" w:eastAsia="zh-CN"/>
        </w:rPr>
        <w:t>20.7064</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，与201</w:t>
      </w:r>
      <w:r>
        <w:rPr>
          <w:rFonts w:hint="default" w:ascii="Times New Roman" w:hAnsi="Times New Roman" w:eastAsia="仿宋" w:cs="Times New Roman"/>
          <w:sz w:val="30"/>
          <w:szCs w:val="30"/>
          <w:lang w:val="en-US" w:eastAsia="zh-CN"/>
        </w:rPr>
        <w:t>7</w:t>
      </w:r>
      <w:r>
        <w:rPr>
          <w:rFonts w:hint="default" w:ascii="Times New Roman" w:hAnsi="Times New Roman" w:eastAsia="仿宋" w:cs="Times New Roman"/>
          <w:sz w:val="30"/>
          <w:szCs w:val="30"/>
        </w:rPr>
        <w:t>年</w:t>
      </w:r>
      <w:r>
        <w:rPr>
          <w:rFonts w:hint="eastAsia" w:eastAsia="仿宋" w:cs="Times New Roman"/>
          <w:sz w:val="30"/>
          <w:szCs w:val="30"/>
          <w:lang w:val="en-US" w:eastAsia="zh-CN"/>
        </w:rPr>
        <w:t>20.1691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相比，增加</w:t>
      </w:r>
      <w:r>
        <w:rPr>
          <w:rFonts w:hint="default" w:ascii="Times New Roman" w:hAnsi="Times New Roman" w:eastAsia="仿宋" w:cs="Times New Roman"/>
          <w:sz w:val="30"/>
          <w:szCs w:val="30"/>
          <w:lang w:val="en-US" w:eastAsia="zh-CN"/>
        </w:rPr>
        <w:t>2.7</w:t>
      </w:r>
      <w:r>
        <w:rPr>
          <w:rFonts w:hint="default" w:ascii="Times New Roman" w:hAnsi="Times New Roman" w:eastAsia="仿宋" w:cs="Times New Roman"/>
          <w:sz w:val="30"/>
          <w:szCs w:val="30"/>
        </w:rPr>
        <w:t>%。其中，地表水供水总量</w:t>
      </w:r>
      <w:r>
        <w:rPr>
          <w:rFonts w:hint="eastAsia" w:eastAsia="仿宋" w:cs="Times New Roman"/>
          <w:sz w:val="30"/>
          <w:szCs w:val="30"/>
          <w:lang w:val="en-US" w:eastAsia="zh-CN"/>
        </w:rPr>
        <w:t>11.0503</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，占总供水量的5</w:t>
      </w:r>
      <w:r>
        <w:rPr>
          <w:rFonts w:hint="eastAsia" w:eastAsia="仿宋" w:cs="Times New Roman"/>
          <w:sz w:val="30"/>
          <w:szCs w:val="30"/>
          <w:lang w:val="en-US" w:eastAsia="zh-CN"/>
        </w:rPr>
        <w:t>3.4</w:t>
      </w:r>
      <w:r>
        <w:rPr>
          <w:rFonts w:hint="default" w:ascii="Times New Roman" w:hAnsi="Times New Roman" w:eastAsia="仿宋" w:cs="Times New Roman"/>
          <w:sz w:val="30"/>
          <w:szCs w:val="30"/>
        </w:rPr>
        <w:t>%；地下水供水量为</w:t>
      </w:r>
      <w:r>
        <w:rPr>
          <w:rFonts w:hint="eastAsia" w:eastAsia="仿宋" w:cs="Times New Roman"/>
          <w:sz w:val="30"/>
          <w:szCs w:val="30"/>
          <w:lang w:val="en-US" w:eastAsia="zh-CN"/>
        </w:rPr>
        <w:t>7.0107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w:t>
      </w:r>
      <w:r>
        <w:rPr>
          <w:rFonts w:hint="eastAsia" w:eastAsia="仿宋" w:cs="Times New Roman"/>
          <w:sz w:val="30"/>
          <w:szCs w:val="30"/>
          <w:lang w:val="en-US" w:eastAsia="zh-CN"/>
        </w:rPr>
        <w:t>33.9</w:t>
      </w:r>
      <w:r>
        <w:rPr>
          <w:rFonts w:hint="default" w:ascii="Times New Roman" w:hAnsi="Times New Roman" w:eastAsia="仿宋" w:cs="Times New Roman"/>
          <w:sz w:val="30"/>
          <w:szCs w:val="30"/>
        </w:rPr>
        <w:t>%；其它水源供水量为</w:t>
      </w:r>
      <w:r>
        <w:rPr>
          <w:rFonts w:hint="default" w:ascii="Times New Roman" w:hAnsi="Times New Roman" w:eastAsia="仿宋" w:cs="Times New Roman"/>
          <w:sz w:val="30"/>
          <w:szCs w:val="30"/>
          <w:lang w:val="en-US" w:eastAsia="zh-CN"/>
        </w:rPr>
        <w:t>2.</w:t>
      </w:r>
      <w:r>
        <w:rPr>
          <w:rFonts w:hint="eastAsia" w:eastAsia="仿宋" w:cs="Times New Roman"/>
          <w:sz w:val="30"/>
          <w:szCs w:val="30"/>
          <w:lang w:val="en-US" w:eastAsia="zh-CN"/>
        </w:rPr>
        <w:t>6455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w:t>
      </w:r>
      <w:r>
        <w:rPr>
          <w:rFonts w:hint="default" w:ascii="Times New Roman" w:hAnsi="Times New Roman" w:eastAsia="仿宋" w:cs="Times New Roman"/>
          <w:sz w:val="30"/>
          <w:szCs w:val="30"/>
          <w:lang w:val="en-US" w:eastAsia="zh-CN"/>
        </w:rPr>
        <w:t>12.8</w:t>
      </w:r>
      <w:r>
        <w:rPr>
          <w:rFonts w:hint="default" w:ascii="Times New Roman" w:hAnsi="Times New Roman" w:eastAsia="仿宋" w:cs="Times New Roman"/>
          <w:sz w:val="30"/>
          <w:szCs w:val="30"/>
        </w:rPr>
        <w:t>%，见图10。</w:t>
      </w:r>
    </w:p>
    <w:p>
      <w:pPr>
        <w:spacing w:line="360" w:lineRule="auto"/>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在地表水供水量中，水库工程供水量为</w:t>
      </w:r>
      <w:r>
        <w:rPr>
          <w:rFonts w:hint="eastAsia" w:eastAsia="仿宋" w:cs="Times New Roman"/>
          <w:sz w:val="32"/>
          <w:szCs w:val="32"/>
          <w:lang w:val="en-US" w:eastAsia="zh-CN"/>
        </w:rPr>
        <w:t>0.9257</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eastAsia" w:eastAsia="仿宋" w:cs="Times New Roman"/>
          <w:sz w:val="32"/>
          <w:szCs w:val="32"/>
          <w:lang w:eastAsia="zh-CN"/>
        </w:rPr>
        <w:t>；</w:t>
      </w:r>
      <w:r>
        <w:rPr>
          <w:rFonts w:hint="default" w:ascii="Times New Roman" w:hAnsi="Times New Roman" w:eastAsia="仿宋" w:cs="Times New Roman"/>
          <w:sz w:val="32"/>
          <w:szCs w:val="32"/>
        </w:rPr>
        <w:t>塘坝和窖池工程</w:t>
      </w:r>
      <w:r>
        <w:rPr>
          <w:rFonts w:hint="eastAsia" w:eastAsia="仿宋" w:cs="Times New Roman"/>
          <w:sz w:val="32"/>
          <w:szCs w:val="32"/>
          <w:lang w:val="en-US" w:eastAsia="zh-CN"/>
        </w:rPr>
        <w:t>0.1456</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eastAsia" w:eastAsia="仿宋" w:cs="Times New Roman"/>
          <w:sz w:val="32"/>
          <w:szCs w:val="32"/>
          <w:lang w:eastAsia="zh-CN"/>
        </w:rPr>
        <w:t>；</w:t>
      </w:r>
      <w:r>
        <w:rPr>
          <w:rFonts w:hint="default" w:ascii="Times New Roman" w:hAnsi="Times New Roman" w:eastAsia="仿宋" w:cs="Times New Roman"/>
          <w:sz w:val="32"/>
          <w:szCs w:val="32"/>
        </w:rPr>
        <w:t>河湖水闸工程供水量为</w:t>
      </w:r>
      <w:r>
        <w:rPr>
          <w:rFonts w:hint="eastAsia" w:eastAsia="仿宋" w:cs="Times New Roman"/>
          <w:sz w:val="32"/>
          <w:szCs w:val="32"/>
          <w:lang w:val="en-US" w:eastAsia="zh-CN"/>
        </w:rPr>
        <w:t>0.3287</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eastAsia" w:eastAsia="仿宋" w:cs="Times New Roman"/>
          <w:sz w:val="32"/>
          <w:szCs w:val="32"/>
          <w:lang w:eastAsia="zh-CN"/>
        </w:rPr>
        <w:t>；</w:t>
      </w:r>
      <w:r>
        <w:rPr>
          <w:rFonts w:hint="default" w:ascii="Times New Roman" w:hAnsi="Times New Roman" w:eastAsia="仿宋" w:cs="Times New Roman"/>
          <w:sz w:val="32"/>
          <w:szCs w:val="32"/>
        </w:rPr>
        <w:t>河湖取水泵站工程供水量为</w:t>
      </w:r>
      <w:r>
        <w:rPr>
          <w:rFonts w:hint="eastAsia" w:eastAsia="仿宋" w:cs="Times New Roman"/>
          <w:sz w:val="32"/>
          <w:szCs w:val="32"/>
          <w:lang w:val="en-US" w:eastAsia="zh-CN"/>
        </w:rPr>
        <w:t>0.8393</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eastAsia" w:eastAsia="仿宋" w:cs="Times New Roman"/>
          <w:sz w:val="32"/>
          <w:szCs w:val="32"/>
          <w:lang w:eastAsia="zh-CN"/>
        </w:rPr>
        <w:t>；</w:t>
      </w:r>
      <w:r>
        <w:rPr>
          <w:rFonts w:hint="default" w:ascii="Times New Roman" w:hAnsi="Times New Roman" w:eastAsia="仿宋" w:cs="Times New Roman"/>
          <w:sz w:val="32"/>
          <w:szCs w:val="32"/>
        </w:rPr>
        <w:t>跨流域调水</w:t>
      </w:r>
      <w:r>
        <w:rPr>
          <w:rFonts w:hint="default" w:ascii="Times New Roman" w:hAnsi="Times New Roman" w:eastAsia="仿宋" w:cs="Times New Roman"/>
          <w:sz w:val="32"/>
          <w:szCs w:val="32"/>
          <w:lang w:val="en-US" w:eastAsia="zh-CN"/>
        </w:rPr>
        <w:t>8.8049</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eastAsia" w:eastAsia="仿宋" w:cs="Times New Roman"/>
          <w:sz w:val="32"/>
          <w:szCs w:val="32"/>
          <w:lang w:eastAsia="zh-CN"/>
        </w:rPr>
        <w:t>；</w:t>
      </w:r>
      <w:r>
        <w:rPr>
          <w:rFonts w:hint="default" w:ascii="Times New Roman" w:hAnsi="Times New Roman" w:eastAsia="仿宋" w:cs="Times New Roman"/>
          <w:sz w:val="32"/>
          <w:szCs w:val="32"/>
        </w:rPr>
        <w:t>其它水源供水量</w:t>
      </w:r>
      <w:r>
        <w:rPr>
          <w:rFonts w:hint="default" w:ascii="Times New Roman" w:hAnsi="Times New Roman" w:eastAsia="仿宋" w:cs="Times New Roman"/>
          <w:sz w:val="32"/>
          <w:szCs w:val="32"/>
          <w:lang w:val="en-US" w:eastAsia="zh-CN"/>
        </w:rPr>
        <w:t>0.0061</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rPr>
        <w:t>详见表11。</w:t>
      </w:r>
    </w:p>
    <w:p>
      <w:pPr>
        <w:spacing w:line="360" w:lineRule="auto"/>
        <w:ind w:firstLine="640" w:firstLineChars="200"/>
        <w:rPr>
          <w:rFonts w:hint="default" w:ascii="Times New Roman" w:hAnsi="Times New Roman" w:eastAsia="仿宋" w:cs="Times New Roman"/>
          <w:sz w:val="30"/>
          <w:szCs w:val="30"/>
        </w:rPr>
      </w:pPr>
      <w:r>
        <w:rPr>
          <w:rFonts w:hint="default" w:ascii="Times New Roman" w:hAnsi="Times New Roman" w:eastAsia="仿宋" w:cs="Times New Roman"/>
          <w:sz w:val="32"/>
          <w:szCs w:val="32"/>
        </w:rPr>
        <w:t>其中跨流域调水量占地表水源供水量的</w:t>
      </w:r>
      <w:r>
        <w:rPr>
          <w:rFonts w:hint="eastAsia" w:eastAsia="仿宋" w:cs="Times New Roman"/>
          <w:sz w:val="32"/>
          <w:szCs w:val="32"/>
          <w:lang w:val="en-US" w:eastAsia="zh-CN"/>
        </w:rPr>
        <w:t>79.7</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val="en-US" w:eastAsia="zh-CN"/>
        </w:rPr>
        <w:t>分别为</w:t>
      </w:r>
      <w:r>
        <w:rPr>
          <w:rFonts w:hint="default" w:ascii="Times New Roman" w:hAnsi="Times New Roman" w:eastAsia="仿宋" w:cs="Times New Roman"/>
          <w:sz w:val="32"/>
          <w:szCs w:val="32"/>
        </w:rPr>
        <w:t>引黄水量3.</w:t>
      </w:r>
      <w:r>
        <w:rPr>
          <w:rFonts w:hint="default" w:ascii="Times New Roman" w:hAnsi="Times New Roman" w:eastAsia="仿宋" w:cs="Times New Roman"/>
          <w:sz w:val="32"/>
          <w:szCs w:val="32"/>
          <w:lang w:val="en-US" w:eastAsia="zh-CN"/>
        </w:rPr>
        <w:t>2404</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default" w:ascii="Times New Roman" w:hAnsi="Times New Roman" w:eastAsia="仿宋" w:cs="Times New Roman"/>
          <w:sz w:val="32"/>
          <w:szCs w:val="32"/>
        </w:rPr>
        <w:t>，南水北调水量5</w:t>
      </w:r>
      <w:r>
        <w:rPr>
          <w:rFonts w:hint="default" w:ascii="Times New Roman" w:hAnsi="Times New Roman" w:eastAsia="仿宋" w:cs="Times New Roman"/>
          <w:sz w:val="32"/>
          <w:szCs w:val="32"/>
          <w:lang w:val="en-US" w:eastAsia="zh-CN"/>
        </w:rPr>
        <w:t>.5645</w:t>
      </w:r>
      <w:r>
        <w:rPr>
          <w:rFonts w:hint="default" w:ascii="Times New Roman" w:hAnsi="Times New Roman" w:eastAsia="仿宋" w:cs="Times New Roman"/>
          <w:sz w:val="32"/>
          <w:szCs w:val="32"/>
        </w:rPr>
        <w:t>亿m</w:t>
      </w:r>
      <w:r>
        <w:rPr>
          <w:rFonts w:hint="default" w:ascii="Times New Roman" w:hAnsi="Times New Roman" w:eastAsia="仿宋" w:cs="Times New Roman"/>
          <w:sz w:val="32"/>
          <w:szCs w:val="32"/>
          <w:vertAlign w:val="superscript"/>
        </w:rPr>
        <w:t>3</w:t>
      </w:r>
      <w:r>
        <w:rPr>
          <w:rFonts w:hint="default" w:ascii="Times New Roman" w:hAnsi="Times New Roman" w:eastAsia="仿宋" w:cs="Times New Roman"/>
          <w:sz w:val="32"/>
          <w:szCs w:val="32"/>
        </w:rPr>
        <w:t>。</w:t>
      </w:r>
    </w:p>
    <w:p>
      <w:pPr>
        <w:jc w:val="center"/>
        <w:rPr>
          <w:rFonts w:hint="default" w:ascii="Times New Roman" w:hAnsi="Times New Roman" w:cs="Times New Roman"/>
          <w:szCs w:val="32"/>
        </w:rPr>
      </w:pPr>
      <w:r>
        <w:drawing>
          <wp:inline distT="0" distB="0" distL="114300" distR="114300">
            <wp:extent cx="5770245" cy="3551555"/>
            <wp:effectExtent l="0" t="0" r="0" b="0"/>
            <wp:docPr id="409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jc w:val="center"/>
        <w:rPr>
          <w:rFonts w:hint="default" w:ascii="Times New Roman" w:hAnsi="Times New Roman" w:cs="Times New Roman"/>
          <w:b/>
          <w:bCs/>
          <w:kern w:val="0"/>
          <w:sz w:val="30"/>
          <w:szCs w:val="30"/>
        </w:rPr>
      </w:pPr>
      <w:r>
        <w:rPr>
          <w:rFonts w:hint="default" w:ascii="Times New Roman" w:hAnsi="Times New Roman" w:eastAsia="黑体" w:cs="Times New Roman"/>
          <w:sz w:val="28"/>
          <w:szCs w:val="28"/>
        </w:rPr>
        <w:t xml:space="preserve">图10  </w:t>
      </w:r>
      <w:r>
        <w:rPr>
          <w:rFonts w:hint="default" w:ascii="Times New Roman" w:hAnsi="Times New Roman" w:eastAsia="黑体" w:cs="Times New Roman"/>
          <w:sz w:val="28"/>
          <w:szCs w:val="28"/>
          <w:lang w:eastAsia="zh-CN"/>
        </w:rPr>
        <w:t>2018</w:t>
      </w:r>
      <w:r>
        <w:rPr>
          <w:rFonts w:hint="default" w:ascii="Times New Roman" w:hAnsi="Times New Roman" w:eastAsia="黑体" w:cs="Times New Roman"/>
          <w:sz w:val="28"/>
          <w:szCs w:val="28"/>
        </w:rPr>
        <w:t>年郑州市行政分区分水源供水量图</w:t>
      </w:r>
    </w:p>
    <w:p>
      <w:pPr>
        <w:rPr>
          <w:rFonts w:hint="default" w:ascii="Times New Roman" w:hAnsi="Times New Roman" w:cs="Times New Roman"/>
        </w:rPr>
      </w:pP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全市以郑州市区供水量最大，为8.</w:t>
      </w:r>
      <w:r>
        <w:rPr>
          <w:rFonts w:hint="default" w:ascii="Times New Roman" w:hAnsi="Times New Roman" w:eastAsia="仿宋" w:cs="Times New Roman"/>
          <w:sz w:val="30"/>
          <w:szCs w:val="30"/>
          <w:lang w:val="en-US" w:eastAsia="zh-CN"/>
        </w:rPr>
        <w:t>4607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w:t>
      </w:r>
      <w:r>
        <w:rPr>
          <w:rFonts w:hint="default" w:ascii="Times New Roman" w:hAnsi="Times New Roman" w:eastAsia="仿宋" w:cs="Times New Roman"/>
          <w:sz w:val="30"/>
          <w:szCs w:val="30"/>
          <w:lang w:val="en-US" w:eastAsia="zh-CN"/>
        </w:rPr>
        <w:t>4</w:t>
      </w:r>
      <w:r>
        <w:rPr>
          <w:rFonts w:hint="eastAsia" w:eastAsia="仿宋" w:cs="Times New Roman"/>
          <w:sz w:val="30"/>
          <w:szCs w:val="30"/>
          <w:lang w:val="en-US" w:eastAsia="zh-CN"/>
        </w:rPr>
        <w:t>0.9</w:t>
      </w:r>
      <w:r>
        <w:rPr>
          <w:rFonts w:hint="default" w:ascii="Times New Roman" w:hAnsi="Times New Roman" w:eastAsia="仿宋" w:cs="Times New Roman"/>
          <w:sz w:val="30"/>
          <w:szCs w:val="30"/>
        </w:rPr>
        <w:t>%；其次是中牟县，供水量为2.</w:t>
      </w:r>
      <w:r>
        <w:rPr>
          <w:rFonts w:hint="default" w:ascii="Times New Roman" w:hAnsi="Times New Roman" w:eastAsia="仿宋" w:cs="Times New Roman"/>
          <w:sz w:val="30"/>
          <w:szCs w:val="30"/>
          <w:lang w:val="en-US" w:eastAsia="zh-CN"/>
        </w:rPr>
        <w:t>2647</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w:t>
      </w:r>
      <w:r>
        <w:rPr>
          <w:rFonts w:hint="eastAsia" w:eastAsia="仿宋" w:cs="Times New Roman"/>
          <w:sz w:val="30"/>
          <w:szCs w:val="30"/>
          <w:lang w:val="en-US" w:eastAsia="zh-CN"/>
        </w:rPr>
        <w:t>10.9</w:t>
      </w:r>
      <w:r>
        <w:rPr>
          <w:rFonts w:hint="default" w:ascii="Times New Roman" w:hAnsi="Times New Roman" w:eastAsia="仿宋" w:cs="Times New Roman"/>
          <w:sz w:val="30"/>
          <w:szCs w:val="30"/>
        </w:rPr>
        <w:t>%；供水量最小的为上街区，年供水量为0.3</w:t>
      </w:r>
      <w:r>
        <w:rPr>
          <w:rFonts w:hint="default" w:ascii="Times New Roman" w:hAnsi="Times New Roman" w:eastAsia="仿宋" w:cs="Times New Roman"/>
          <w:sz w:val="30"/>
          <w:szCs w:val="30"/>
          <w:lang w:val="en-US" w:eastAsia="zh-CN"/>
        </w:rPr>
        <w:t>680</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，占总供水量的1.</w:t>
      </w:r>
      <w:r>
        <w:rPr>
          <w:rFonts w:hint="eastAsia" w:eastAsia="仿宋" w:cs="Times New Roman"/>
          <w:sz w:val="30"/>
          <w:szCs w:val="30"/>
          <w:lang w:val="en-US" w:eastAsia="zh-CN"/>
        </w:rPr>
        <w:t>8</w:t>
      </w:r>
      <w:r>
        <w:rPr>
          <w:rFonts w:hint="default" w:ascii="Times New Roman" w:hAnsi="Times New Roman" w:eastAsia="仿宋" w:cs="Times New Roman"/>
          <w:sz w:val="30"/>
          <w:szCs w:val="30"/>
        </w:rPr>
        <w:t>%。各行政分区供水量所占总供水量比例，见图11。</w:t>
      </w:r>
    </w:p>
    <w:p>
      <w:pPr>
        <w:jc w:val="center"/>
        <w:rPr>
          <w:rFonts w:hint="default" w:ascii="Times New Roman" w:hAnsi="Times New Roman" w:cs="Times New Roman"/>
          <w:szCs w:val="32"/>
        </w:rPr>
      </w:pPr>
      <w:r>
        <w:drawing>
          <wp:inline distT="0" distB="0" distL="114300" distR="114300">
            <wp:extent cx="5796280" cy="2857500"/>
            <wp:effectExtent l="0" t="0" r="0" b="0"/>
            <wp:docPr id="409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center"/>
        <w:rPr>
          <w:rFonts w:hint="default" w:ascii="Times New Roman" w:hAnsi="Times New Roman" w:eastAsia="黑体" w:cs="Times New Roman"/>
          <w:bCs/>
          <w:kern w:val="0"/>
          <w:sz w:val="28"/>
          <w:szCs w:val="28"/>
        </w:rPr>
      </w:pPr>
      <w:r>
        <w:rPr>
          <w:rFonts w:hint="default" w:ascii="Times New Roman" w:hAnsi="Times New Roman" w:eastAsia="黑体" w:cs="Times New Roman"/>
          <w:bCs/>
          <w:kern w:val="0"/>
          <w:sz w:val="28"/>
          <w:szCs w:val="28"/>
        </w:rPr>
        <w:t xml:space="preserve">图11  </w:t>
      </w:r>
      <w:r>
        <w:rPr>
          <w:rFonts w:hint="default" w:ascii="Times New Roman" w:hAnsi="Times New Roman" w:eastAsia="黑体" w:cs="Times New Roman"/>
          <w:bCs/>
          <w:kern w:val="0"/>
          <w:sz w:val="28"/>
          <w:szCs w:val="28"/>
          <w:lang w:eastAsia="zh-CN"/>
        </w:rPr>
        <w:t>2018</w:t>
      </w:r>
      <w:r>
        <w:rPr>
          <w:rFonts w:hint="default" w:ascii="Times New Roman" w:hAnsi="Times New Roman" w:eastAsia="黑体" w:cs="Times New Roman"/>
          <w:bCs/>
          <w:kern w:val="0"/>
          <w:sz w:val="28"/>
          <w:szCs w:val="28"/>
        </w:rPr>
        <w:t>年郑州市行政分区供水量所占比例图</w:t>
      </w:r>
    </w:p>
    <w:p>
      <w:pPr>
        <w:jc w:val="center"/>
        <w:rPr>
          <w:rFonts w:hint="default" w:ascii="Times New Roman" w:hAnsi="Times New Roman" w:cs="Times New Roman"/>
          <w:szCs w:val="32"/>
        </w:rPr>
      </w:pPr>
    </w:p>
    <w:p>
      <w:pPr>
        <w:pStyle w:val="4"/>
        <w:spacing w:before="0" w:after="0" w:line="360" w:lineRule="auto"/>
        <w:jc w:val="left"/>
        <w:rPr>
          <w:rFonts w:hint="default" w:ascii="Times New Roman" w:hAnsi="Times New Roman" w:cs="Times New Roman"/>
          <w:b w:val="0"/>
        </w:rPr>
      </w:pPr>
      <w:bookmarkStart w:id="26" w:name="_Toc17738"/>
      <w:r>
        <w:rPr>
          <w:rFonts w:hint="default" w:ascii="Times New Roman" w:hAnsi="Times New Roman" w:cs="Times New Roman"/>
          <w:b w:val="0"/>
        </w:rPr>
        <w:t>4.2 用水量</w:t>
      </w:r>
      <w:bookmarkEnd w:id="26"/>
    </w:p>
    <w:p>
      <w:pPr>
        <w:spacing w:line="360" w:lineRule="auto"/>
        <w:ind w:firstLine="602" w:firstLineChars="200"/>
        <w:rPr>
          <w:rFonts w:hint="default" w:ascii="Times New Roman" w:hAnsi="Times New Roman" w:eastAsia="仿宋" w:cs="Times New Roman"/>
          <w:sz w:val="30"/>
          <w:szCs w:val="30"/>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年度郑州市用水总量为</w:t>
      </w:r>
      <w:r>
        <w:rPr>
          <w:rFonts w:hint="eastAsia" w:eastAsia="仿宋" w:cs="Times New Roman"/>
          <w:b/>
          <w:sz w:val="30"/>
          <w:szCs w:val="30"/>
          <w:lang w:val="en-US" w:eastAsia="zh-CN"/>
        </w:rPr>
        <w:t>20.7064</w:t>
      </w:r>
      <w:r>
        <w:rPr>
          <w:rFonts w:hint="default" w:ascii="Times New Roman" w:hAnsi="Times New Roman" w:eastAsia="仿宋" w:cs="Times New Roman"/>
          <w:b/>
          <w:sz w:val="30"/>
          <w:szCs w:val="30"/>
        </w:rPr>
        <w:t>亿m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，符合河南省下达给郑州市</w:t>
      </w: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年度最严格水资源管理控制目标用水总量目标值21.</w:t>
      </w:r>
      <w:r>
        <w:rPr>
          <w:rFonts w:hint="default" w:ascii="Times New Roman" w:hAnsi="Times New Roman" w:eastAsia="仿宋" w:cs="Times New Roman"/>
          <w:b/>
          <w:sz w:val="30"/>
          <w:szCs w:val="30"/>
          <w:lang w:val="en-US" w:eastAsia="zh-CN"/>
        </w:rPr>
        <w:t>89</w:t>
      </w:r>
      <w:r>
        <w:rPr>
          <w:rFonts w:hint="default" w:ascii="Times New Roman" w:hAnsi="Times New Roman" w:eastAsia="仿宋" w:cs="Times New Roman"/>
          <w:b/>
          <w:sz w:val="30"/>
          <w:szCs w:val="30"/>
        </w:rPr>
        <w:t>亿m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的要求。</w:t>
      </w:r>
      <w:r>
        <w:rPr>
          <w:rFonts w:hint="default" w:ascii="Times New Roman" w:hAnsi="Times New Roman" w:eastAsia="仿宋" w:cs="Times New Roman"/>
          <w:sz w:val="30"/>
          <w:szCs w:val="30"/>
        </w:rPr>
        <w:t>在分项用水中：生活用水量最多，为</w:t>
      </w:r>
      <w:r>
        <w:rPr>
          <w:rFonts w:hint="eastAsia" w:eastAsia="仿宋" w:cs="Times New Roman"/>
          <w:sz w:val="30"/>
          <w:szCs w:val="30"/>
          <w:lang w:val="en-US" w:eastAsia="zh-CN"/>
        </w:rPr>
        <w:t>6.5996</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，占总用水量的3</w:t>
      </w:r>
      <w:r>
        <w:rPr>
          <w:rFonts w:hint="eastAsia" w:eastAsia="仿宋" w:cs="Times New Roman"/>
          <w:sz w:val="30"/>
          <w:szCs w:val="30"/>
          <w:lang w:val="en-US" w:eastAsia="zh-CN"/>
        </w:rPr>
        <w:t>1.9</w:t>
      </w:r>
      <w:r>
        <w:rPr>
          <w:rFonts w:hint="default" w:ascii="Times New Roman" w:hAnsi="Times New Roman" w:eastAsia="仿宋" w:cs="Times New Roman"/>
          <w:sz w:val="30"/>
          <w:szCs w:val="30"/>
        </w:rPr>
        <w:t>%，主要为城镇和农村居民生活、第三产业、建筑业；农业用水量为</w:t>
      </w:r>
      <w:r>
        <w:rPr>
          <w:rFonts w:hint="eastAsia" w:eastAsia="仿宋" w:cs="Times New Roman"/>
          <w:sz w:val="30"/>
          <w:szCs w:val="30"/>
          <w:lang w:val="en-US" w:eastAsia="zh-CN"/>
        </w:rPr>
        <w:t>4.2318</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，占总用水量的28.4%，主要为耕地灌溉、林地灌溉、园地灌溉、牧草地灌溉、鱼塘补水和禽畜用水；工业用水量为</w:t>
      </w:r>
      <w:r>
        <w:rPr>
          <w:rFonts w:hint="eastAsia" w:eastAsia="仿宋" w:cs="Times New Roman"/>
          <w:sz w:val="30"/>
          <w:szCs w:val="30"/>
          <w:lang w:val="en-US" w:eastAsia="zh-CN"/>
        </w:rPr>
        <w:t>5.2669</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，占总用水量的</w:t>
      </w:r>
      <w:r>
        <w:rPr>
          <w:rFonts w:hint="eastAsia" w:eastAsia="仿宋" w:cs="Times New Roman"/>
          <w:sz w:val="30"/>
          <w:szCs w:val="30"/>
          <w:lang w:val="en-US" w:eastAsia="zh-CN"/>
        </w:rPr>
        <w:t>25.4</w:t>
      </w:r>
      <w:r>
        <w:rPr>
          <w:rFonts w:hint="default" w:ascii="Times New Roman" w:hAnsi="Times New Roman" w:eastAsia="仿宋" w:cs="Times New Roman"/>
          <w:sz w:val="30"/>
          <w:szCs w:val="30"/>
        </w:rPr>
        <w:t>%，主要为火（核）电和非火（核）电；生态环境用水量为</w:t>
      </w:r>
      <w:r>
        <w:rPr>
          <w:rFonts w:hint="default" w:ascii="Times New Roman" w:hAnsi="Times New Roman" w:eastAsia="仿宋" w:cs="Times New Roman"/>
          <w:sz w:val="30"/>
          <w:szCs w:val="30"/>
          <w:lang w:val="en-US" w:eastAsia="zh-CN"/>
        </w:rPr>
        <w:t>4.</w:t>
      </w:r>
      <w:r>
        <w:rPr>
          <w:rFonts w:hint="eastAsia" w:eastAsia="仿宋" w:cs="Times New Roman"/>
          <w:sz w:val="30"/>
          <w:szCs w:val="30"/>
          <w:lang w:val="en-US" w:eastAsia="zh-CN"/>
        </w:rPr>
        <w:t>6081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，占总用水量的</w:t>
      </w:r>
      <w:r>
        <w:rPr>
          <w:rFonts w:hint="default" w:ascii="Times New Roman" w:hAnsi="Times New Roman" w:eastAsia="仿宋" w:cs="Times New Roman"/>
          <w:sz w:val="30"/>
          <w:szCs w:val="30"/>
          <w:lang w:val="en-US" w:eastAsia="zh-CN"/>
        </w:rPr>
        <w:t>2</w:t>
      </w:r>
      <w:r>
        <w:rPr>
          <w:rFonts w:hint="eastAsia" w:eastAsia="仿宋" w:cs="Times New Roman"/>
          <w:sz w:val="30"/>
          <w:szCs w:val="30"/>
          <w:lang w:val="en-US" w:eastAsia="zh-CN"/>
        </w:rPr>
        <w:t>2.3</w:t>
      </w:r>
      <w:r>
        <w:rPr>
          <w:rFonts w:hint="default" w:ascii="Times New Roman" w:hAnsi="Times New Roman" w:eastAsia="仿宋" w:cs="Times New Roman"/>
          <w:sz w:val="30"/>
          <w:szCs w:val="30"/>
        </w:rPr>
        <w:t>%，主要为河湖补水和城镇环境。详见表12，图12，图13。</w:t>
      </w:r>
    </w:p>
    <w:p>
      <w:pPr>
        <w:spacing w:line="360" w:lineRule="auto"/>
        <w:jc w:val="center"/>
        <w:rPr>
          <w:rFonts w:hint="default" w:ascii="Times New Roman" w:hAnsi="Times New Roman" w:cs="Times New Roman"/>
          <w:b/>
          <w:bCs/>
          <w:sz w:val="28"/>
          <w:szCs w:val="28"/>
        </w:rPr>
      </w:pPr>
    </w:p>
    <w:p>
      <w:pPr>
        <w:pStyle w:val="2"/>
        <w:rPr>
          <w:rFonts w:hint="default"/>
        </w:rPr>
      </w:pPr>
    </w:p>
    <w:p>
      <w:pPr>
        <w:spacing w:line="360" w:lineRule="auto"/>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表11</w:t>
      </w:r>
      <w:r>
        <w:rPr>
          <w:rFonts w:hint="eastAsia" w:ascii="Times New Roman" w:hAnsi="Times New Roman" w:eastAsia="黑体" w:cs="Times New Roman"/>
          <w:bCs/>
          <w:sz w:val="28"/>
          <w:szCs w:val="28"/>
          <w:lang w:val="en-US" w:eastAsia="zh-CN"/>
        </w:rPr>
        <w:t xml:space="preserve">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年河南省郑州市行政分区供水量统计表</w:t>
      </w:r>
    </w:p>
    <w:tbl>
      <w:tblPr>
        <w:tblStyle w:val="23"/>
        <w:tblW w:w="14080" w:type="dxa"/>
        <w:jc w:val="center"/>
        <w:tblInd w:w="103" w:type="dxa"/>
        <w:tblLayout w:type="fixed"/>
        <w:tblCellMar>
          <w:top w:w="0" w:type="dxa"/>
          <w:left w:w="108" w:type="dxa"/>
          <w:bottom w:w="0" w:type="dxa"/>
          <w:right w:w="108" w:type="dxa"/>
        </w:tblCellMar>
      </w:tblPr>
      <w:tblGrid>
        <w:gridCol w:w="1282"/>
        <w:gridCol w:w="1002"/>
        <w:gridCol w:w="1001"/>
        <w:gridCol w:w="1000"/>
        <w:gridCol w:w="1003"/>
        <w:gridCol w:w="1001"/>
        <w:gridCol w:w="1001"/>
        <w:gridCol w:w="1268"/>
        <w:gridCol w:w="1165"/>
        <w:gridCol w:w="1095"/>
        <w:gridCol w:w="1000"/>
        <w:gridCol w:w="1003"/>
        <w:gridCol w:w="1259"/>
      </w:tblGrid>
      <w:tr>
        <w:tblPrEx>
          <w:tblLayout w:type="fixed"/>
          <w:tblCellMar>
            <w:top w:w="0" w:type="dxa"/>
            <w:left w:w="108" w:type="dxa"/>
            <w:bottom w:w="0" w:type="dxa"/>
            <w:right w:w="108" w:type="dxa"/>
          </w:tblCellMar>
        </w:tblPrEx>
        <w:trPr>
          <w:trHeight w:val="668" w:hRule="atLeast"/>
          <w:jc w:val="center"/>
        </w:trPr>
        <w:tc>
          <w:tcPr>
            <w:tcW w:w="1282" w:type="dxa"/>
            <w:vMerge w:val="restart"/>
            <w:tcBorders>
              <w:top w:val="single" w:color="auto" w:sz="12"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行政分区名称</w:t>
            </w:r>
          </w:p>
        </w:tc>
        <w:tc>
          <w:tcPr>
            <w:tcW w:w="6008" w:type="dxa"/>
            <w:gridSpan w:val="6"/>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地表水源供水量（亿m</w:t>
            </w:r>
            <w:r>
              <w:rPr>
                <w:rFonts w:hint="default" w:ascii="Times New Roman" w:hAnsi="Times New Roman" w:eastAsia="仿宋" w:cs="Times New Roman"/>
                <w:color w:val="000000"/>
                <w:kern w:val="0"/>
                <w:sz w:val="24"/>
                <w:vertAlign w:val="superscript"/>
              </w:rPr>
              <w:t>3</w:t>
            </w:r>
            <w:r>
              <w:rPr>
                <w:rFonts w:hint="default" w:ascii="Times New Roman" w:hAnsi="Times New Roman" w:eastAsia="仿宋" w:cs="Times New Roman"/>
                <w:color w:val="000000"/>
                <w:kern w:val="0"/>
                <w:sz w:val="24"/>
              </w:rPr>
              <w:t>）</w:t>
            </w:r>
          </w:p>
        </w:tc>
        <w:tc>
          <w:tcPr>
            <w:tcW w:w="1268" w:type="dxa"/>
            <w:tcBorders>
              <w:top w:val="single" w:color="auto" w:sz="12"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165" w:type="dxa"/>
            <w:vMerge w:val="restart"/>
            <w:tcBorders>
              <w:top w:val="single" w:color="auto" w:sz="12" w:space="0"/>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地下水源供水量</w:t>
            </w:r>
          </w:p>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（亿m</w:t>
            </w:r>
            <w:r>
              <w:rPr>
                <w:rFonts w:hint="default" w:ascii="Times New Roman" w:hAnsi="Times New Roman" w:eastAsia="仿宋" w:cs="Times New Roman"/>
                <w:color w:val="000000"/>
                <w:kern w:val="0"/>
                <w:sz w:val="24"/>
                <w:vertAlign w:val="superscript"/>
              </w:rPr>
              <w:t>3</w:t>
            </w:r>
            <w:r>
              <w:rPr>
                <w:rFonts w:hint="default" w:ascii="Times New Roman" w:hAnsi="Times New Roman" w:eastAsia="仿宋" w:cs="Times New Roman"/>
                <w:color w:val="000000"/>
                <w:kern w:val="0"/>
                <w:sz w:val="24"/>
              </w:rPr>
              <w:t>）</w:t>
            </w:r>
          </w:p>
        </w:tc>
        <w:tc>
          <w:tcPr>
            <w:tcW w:w="3098" w:type="dxa"/>
            <w:gridSpan w:val="3"/>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其他水源（非常规水源）</w:t>
            </w:r>
          </w:p>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（亿m</w:t>
            </w:r>
            <w:r>
              <w:rPr>
                <w:rFonts w:hint="default" w:ascii="Times New Roman" w:hAnsi="Times New Roman" w:eastAsia="仿宋" w:cs="Times New Roman"/>
                <w:color w:val="000000"/>
                <w:kern w:val="0"/>
                <w:sz w:val="24"/>
                <w:vertAlign w:val="superscript"/>
              </w:rPr>
              <w:t>3</w:t>
            </w:r>
            <w:r>
              <w:rPr>
                <w:rFonts w:hint="default" w:ascii="Times New Roman" w:hAnsi="Times New Roman" w:eastAsia="仿宋" w:cs="Times New Roman"/>
                <w:color w:val="000000"/>
                <w:kern w:val="0"/>
                <w:sz w:val="24"/>
              </w:rPr>
              <w:t>）</w:t>
            </w:r>
          </w:p>
        </w:tc>
        <w:tc>
          <w:tcPr>
            <w:tcW w:w="1259" w:type="dxa"/>
            <w:vMerge w:val="restart"/>
            <w:tcBorders>
              <w:top w:val="single" w:color="auto" w:sz="12" w:space="0"/>
              <w:left w:val="single" w:color="auto" w:sz="4" w:space="0"/>
              <w:bottom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总供水量（亿m</w:t>
            </w:r>
            <w:r>
              <w:rPr>
                <w:rFonts w:hint="default" w:ascii="Times New Roman" w:hAnsi="Times New Roman" w:eastAsia="仿宋" w:cs="Times New Roman"/>
                <w:color w:val="000000"/>
                <w:kern w:val="0"/>
                <w:sz w:val="24"/>
                <w:vertAlign w:val="superscript"/>
              </w:rPr>
              <w:t>3</w:t>
            </w:r>
            <w:r>
              <w:rPr>
                <w:rFonts w:hint="default" w:ascii="Times New Roman" w:hAnsi="Times New Roman" w:eastAsia="仿宋" w:cs="Times New Roman"/>
                <w:color w:val="000000"/>
                <w:kern w:val="0"/>
                <w:sz w:val="24"/>
              </w:rPr>
              <w:t>）</w:t>
            </w:r>
          </w:p>
        </w:tc>
      </w:tr>
      <w:tr>
        <w:tblPrEx>
          <w:tblLayout w:type="fixed"/>
          <w:tblCellMar>
            <w:top w:w="0" w:type="dxa"/>
            <w:left w:w="108" w:type="dxa"/>
            <w:bottom w:w="0" w:type="dxa"/>
            <w:right w:w="108" w:type="dxa"/>
          </w:tblCellMar>
        </w:tblPrEx>
        <w:trPr>
          <w:trHeight w:val="411" w:hRule="atLeast"/>
          <w:jc w:val="center"/>
        </w:trPr>
        <w:tc>
          <w:tcPr>
            <w:tcW w:w="1282" w:type="dxa"/>
            <w:vMerge w:val="continue"/>
            <w:tcBorders>
              <w:top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2"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水库工程</w:t>
            </w:r>
          </w:p>
        </w:tc>
        <w:tc>
          <w:tcPr>
            <w:tcW w:w="1001"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塘坝和窖池工程</w:t>
            </w:r>
          </w:p>
        </w:tc>
        <w:tc>
          <w:tcPr>
            <w:tcW w:w="1000"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河湖引水闸工程</w:t>
            </w:r>
          </w:p>
        </w:tc>
        <w:tc>
          <w:tcPr>
            <w:tcW w:w="1003"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河湖取水泵站工程</w:t>
            </w:r>
          </w:p>
        </w:tc>
        <w:tc>
          <w:tcPr>
            <w:tcW w:w="200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跨流域调水</w:t>
            </w:r>
          </w:p>
        </w:tc>
        <w:tc>
          <w:tcPr>
            <w:tcW w:w="1268"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小计</w:t>
            </w:r>
          </w:p>
        </w:tc>
        <w:tc>
          <w:tcPr>
            <w:tcW w:w="116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95"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污水处理回用</w:t>
            </w:r>
          </w:p>
        </w:tc>
        <w:tc>
          <w:tcPr>
            <w:tcW w:w="1000"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其他</w:t>
            </w:r>
          </w:p>
        </w:tc>
        <w:tc>
          <w:tcPr>
            <w:tcW w:w="1003" w:type="dxa"/>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小计</w:t>
            </w:r>
          </w:p>
        </w:tc>
        <w:tc>
          <w:tcPr>
            <w:tcW w:w="1259" w:type="dxa"/>
            <w:vMerge w:val="continue"/>
            <w:tcBorders>
              <w:top w:val="single" w:color="auto" w:sz="4" w:space="0"/>
              <w:left w:val="single" w:color="auto" w:sz="4" w:space="0"/>
              <w:bottom w:val="single" w:color="auto" w:sz="4" w:space="0"/>
            </w:tcBorders>
            <w:vAlign w:val="center"/>
          </w:tcPr>
          <w:p>
            <w:pPr>
              <w:widowControl/>
              <w:jc w:val="left"/>
              <w:rPr>
                <w:rFonts w:hint="default" w:ascii="Times New Roman" w:hAnsi="Times New Roman" w:eastAsia="仿宋" w:cs="Times New Roman"/>
                <w:color w:val="000000"/>
                <w:kern w:val="0"/>
                <w:sz w:val="24"/>
              </w:rPr>
            </w:pPr>
          </w:p>
        </w:tc>
      </w:tr>
      <w:tr>
        <w:tblPrEx>
          <w:tblLayout w:type="fixed"/>
          <w:tblCellMar>
            <w:top w:w="0" w:type="dxa"/>
            <w:left w:w="108" w:type="dxa"/>
            <w:bottom w:w="0" w:type="dxa"/>
            <w:right w:w="108" w:type="dxa"/>
          </w:tblCellMar>
        </w:tblPrEx>
        <w:trPr>
          <w:trHeight w:val="393" w:hRule="atLeast"/>
          <w:jc w:val="center"/>
        </w:trPr>
        <w:tc>
          <w:tcPr>
            <w:tcW w:w="1282" w:type="dxa"/>
            <w:vMerge w:val="continue"/>
            <w:tcBorders>
              <w:top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2"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1"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3"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200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26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16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95"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3"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259" w:type="dxa"/>
            <w:vMerge w:val="continue"/>
            <w:tcBorders>
              <w:top w:val="single" w:color="auto" w:sz="4" w:space="0"/>
              <w:left w:val="single" w:color="auto" w:sz="4" w:space="0"/>
              <w:bottom w:val="single" w:color="auto" w:sz="4" w:space="0"/>
            </w:tcBorders>
            <w:vAlign w:val="center"/>
          </w:tcPr>
          <w:p>
            <w:pPr>
              <w:widowControl/>
              <w:jc w:val="left"/>
              <w:rPr>
                <w:rFonts w:hint="default" w:ascii="Times New Roman" w:hAnsi="Times New Roman" w:eastAsia="仿宋" w:cs="Times New Roman"/>
                <w:color w:val="000000"/>
                <w:kern w:val="0"/>
                <w:sz w:val="24"/>
              </w:rPr>
            </w:pPr>
          </w:p>
        </w:tc>
      </w:tr>
      <w:tr>
        <w:tblPrEx>
          <w:tblLayout w:type="fixed"/>
          <w:tblCellMar>
            <w:top w:w="0" w:type="dxa"/>
            <w:left w:w="108" w:type="dxa"/>
            <w:bottom w:w="0" w:type="dxa"/>
            <w:right w:w="108" w:type="dxa"/>
          </w:tblCellMar>
        </w:tblPrEx>
        <w:trPr>
          <w:trHeight w:val="1082" w:hRule="atLeast"/>
          <w:jc w:val="center"/>
        </w:trPr>
        <w:tc>
          <w:tcPr>
            <w:tcW w:w="1282" w:type="dxa"/>
            <w:vMerge w:val="continue"/>
            <w:tcBorders>
              <w:top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2"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1"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0"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3"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1"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引黄</w:t>
            </w:r>
          </w:p>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水量</w:t>
            </w:r>
          </w:p>
        </w:tc>
        <w:tc>
          <w:tcPr>
            <w:tcW w:w="1001"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南水北调水量</w:t>
            </w:r>
          </w:p>
        </w:tc>
        <w:tc>
          <w:tcPr>
            <w:tcW w:w="1268"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165"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95"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0"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003" w:type="dxa"/>
            <w:vMerge w:val="continue"/>
            <w:tcBorders>
              <w:top w:val="nil"/>
              <w:left w:val="single" w:color="auto" w:sz="4" w:space="0"/>
              <w:bottom w:val="single" w:color="auto" w:sz="12" w:space="0"/>
              <w:right w:val="single" w:color="auto" w:sz="4" w:space="0"/>
            </w:tcBorders>
            <w:vAlign w:val="center"/>
          </w:tcPr>
          <w:p>
            <w:pPr>
              <w:widowControl/>
              <w:jc w:val="left"/>
              <w:rPr>
                <w:rFonts w:hint="default" w:ascii="Times New Roman" w:hAnsi="Times New Roman" w:eastAsia="仿宋" w:cs="Times New Roman"/>
                <w:color w:val="000000"/>
                <w:kern w:val="0"/>
                <w:sz w:val="24"/>
              </w:rPr>
            </w:pPr>
          </w:p>
        </w:tc>
        <w:tc>
          <w:tcPr>
            <w:tcW w:w="1259" w:type="dxa"/>
            <w:vMerge w:val="continue"/>
            <w:tcBorders>
              <w:top w:val="single" w:color="auto" w:sz="4" w:space="0"/>
              <w:left w:val="single" w:color="auto" w:sz="4" w:space="0"/>
              <w:bottom w:val="single" w:color="auto" w:sz="12" w:space="0"/>
            </w:tcBorders>
            <w:vAlign w:val="center"/>
          </w:tcPr>
          <w:p>
            <w:pPr>
              <w:widowControl/>
              <w:jc w:val="left"/>
              <w:rPr>
                <w:rFonts w:hint="default" w:ascii="Times New Roman" w:hAnsi="Times New Roman" w:eastAsia="仿宋" w:cs="Times New Roman"/>
                <w:color w:val="000000"/>
                <w:kern w:val="0"/>
                <w:sz w:val="24"/>
              </w:rPr>
            </w:pPr>
          </w:p>
        </w:tc>
      </w:tr>
      <w:tr>
        <w:tblPrEx>
          <w:tblLayout w:type="fixed"/>
          <w:tblCellMar>
            <w:top w:w="0" w:type="dxa"/>
            <w:left w:w="108" w:type="dxa"/>
            <w:bottom w:w="0" w:type="dxa"/>
            <w:right w:w="108" w:type="dxa"/>
          </w:tblCellMar>
        </w:tblPrEx>
        <w:trPr>
          <w:trHeight w:val="491" w:hRule="atLeast"/>
          <w:jc w:val="center"/>
        </w:trPr>
        <w:tc>
          <w:tcPr>
            <w:tcW w:w="1282" w:type="dxa"/>
            <w:tcBorders>
              <w:top w:val="single" w:color="auto" w:sz="12"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新密市</w:t>
            </w:r>
          </w:p>
        </w:tc>
        <w:tc>
          <w:tcPr>
            <w:tcW w:w="1002"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0.1797</w:t>
            </w:r>
          </w:p>
        </w:tc>
        <w:tc>
          <w:tcPr>
            <w:tcW w:w="1001"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0.0705</w:t>
            </w:r>
          </w:p>
        </w:tc>
        <w:tc>
          <w:tcPr>
            <w:tcW w:w="1000"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0.0264</w:t>
            </w:r>
          </w:p>
        </w:tc>
        <w:tc>
          <w:tcPr>
            <w:tcW w:w="1003"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0.0673</w:t>
            </w:r>
          </w:p>
        </w:tc>
        <w:tc>
          <w:tcPr>
            <w:tcW w:w="1001" w:type="dxa"/>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0.0138</w:t>
            </w:r>
          </w:p>
        </w:tc>
        <w:tc>
          <w:tcPr>
            <w:tcW w:w="1268"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0.3577</w:t>
            </w:r>
          </w:p>
        </w:tc>
        <w:tc>
          <w:tcPr>
            <w:tcW w:w="1165"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0.8065</w:t>
            </w:r>
          </w:p>
        </w:tc>
        <w:tc>
          <w:tcPr>
            <w:tcW w:w="1095"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0.1828</w:t>
            </w:r>
          </w:p>
        </w:tc>
        <w:tc>
          <w:tcPr>
            <w:tcW w:w="1000"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0.0305</w:t>
            </w:r>
          </w:p>
        </w:tc>
        <w:tc>
          <w:tcPr>
            <w:tcW w:w="1003"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0.2133</w:t>
            </w:r>
          </w:p>
        </w:tc>
        <w:tc>
          <w:tcPr>
            <w:tcW w:w="1259" w:type="dxa"/>
            <w:tcBorders>
              <w:top w:val="single" w:color="auto" w:sz="12" w:space="0"/>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1.3775</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新郑市</w:t>
            </w:r>
          </w:p>
        </w:tc>
        <w:tc>
          <w:tcPr>
            <w:tcW w:w="1002"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0.0800</w:t>
            </w: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0.0004</w:t>
            </w:r>
          </w:p>
        </w:tc>
        <w:tc>
          <w:tcPr>
            <w:tcW w:w="100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0.0000</w:t>
            </w: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0.0142</w:t>
            </w: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0.8482</w:t>
            </w: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0.9428</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0.8240</w:t>
            </w:r>
          </w:p>
        </w:tc>
        <w:tc>
          <w:tcPr>
            <w:tcW w:w="109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0.1460</w:t>
            </w:r>
          </w:p>
        </w:tc>
        <w:tc>
          <w:tcPr>
            <w:tcW w:w="100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0.0055</w:t>
            </w: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0.1515</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1.9183</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荥阳市</w:t>
            </w:r>
          </w:p>
        </w:tc>
        <w:tc>
          <w:tcPr>
            <w:tcW w:w="1002"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0.0256</w:t>
            </w: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0.0036</w:t>
            </w: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lang w:val="en-US"/>
              </w:rPr>
            </w:pPr>
            <w:r>
              <w:rPr>
                <w:rFonts w:hint="default" w:ascii="Times New Roman" w:hAnsi="Times New Roman" w:eastAsia="仿宋" w:cs="Times New Roman"/>
                <w:i w:val="0"/>
                <w:color w:val="000000"/>
                <w:kern w:val="0"/>
                <w:sz w:val="24"/>
                <w:szCs w:val="24"/>
                <w:u w:val="none"/>
                <w:lang w:val="en-US" w:eastAsia="zh-CN" w:bidi="ar"/>
              </w:rPr>
              <w:t>0.</w:t>
            </w:r>
            <w:r>
              <w:rPr>
                <w:rFonts w:hint="eastAsia" w:eastAsia="仿宋" w:cs="Times New Roman"/>
                <w:i w:val="0"/>
                <w:color w:val="000000"/>
                <w:kern w:val="0"/>
                <w:sz w:val="24"/>
                <w:szCs w:val="24"/>
                <w:u w:val="none"/>
                <w:lang w:val="en-US" w:eastAsia="zh-CN" w:bidi="ar"/>
              </w:rPr>
              <w:t>1947</w:t>
            </w: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0.5259</w:t>
            </w: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0.7498</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0.8742</w:t>
            </w:r>
          </w:p>
        </w:tc>
        <w:tc>
          <w:tcPr>
            <w:tcW w:w="109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0.0460</w:t>
            </w: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0.0460</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1.6700</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登封市</w:t>
            </w:r>
          </w:p>
        </w:tc>
        <w:tc>
          <w:tcPr>
            <w:tcW w:w="1002"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0.4356</w:t>
            </w: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0.0388</w:t>
            </w: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0.0000</w:t>
            </w: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0.4744</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0.6673</w:t>
            </w:r>
          </w:p>
        </w:tc>
        <w:tc>
          <w:tcPr>
            <w:tcW w:w="109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0.1990</w:t>
            </w:r>
          </w:p>
        </w:tc>
        <w:tc>
          <w:tcPr>
            <w:tcW w:w="100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0.0800</w:t>
            </w: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0.2790</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1.4207</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中牟县</w:t>
            </w:r>
          </w:p>
        </w:tc>
        <w:tc>
          <w:tcPr>
            <w:tcW w:w="1002"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0.7637</w:t>
            </w: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0.1546</w:t>
            </w: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0.9183</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1.3464</w:t>
            </w:r>
          </w:p>
        </w:tc>
        <w:tc>
          <w:tcPr>
            <w:tcW w:w="1095"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0.0000</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2.2647</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郑州市区</w:t>
            </w:r>
          </w:p>
        </w:tc>
        <w:tc>
          <w:tcPr>
            <w:tcW w:w="1002"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0.1715</w:t>
            </w: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0.0138</w:t>
            </w: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0.3817</w:t>
            </w: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2.4767</w:t>
            </w: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3.4650</w:t>
            </w: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6.5087</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0.6221</w:t>
            </w:r>
          </w:p>
        </w:tc>
        <w:tc>
          <w:tcPr>
            <w:tcW w:w="109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1.3299</w:t>
            </w: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1.3299</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8.4607</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航空港区</w:t>
            </w:r>
          </w:p>
        </w:tc>
        <w:tc>
          <w:tcPr>
            <w:tcW w:w="1002"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0.4674</w:t>
            </w: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0.4674</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0.8797</w:t>
            </w:r>
          </w:p>
        </w:tc>
        <w:tc>
          <w:tcPr>
            <w:tcW w:w="109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0.3329</w:t>
            </w: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0.3329</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1.6800</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上街区</w:t>
            </w:r>
          </w:p>
        </w:tc>
        <w:tc>
          <w:tcPr>
            <w:tcW w:w="1002"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0" w:type="dxa"/>
            <w:tcBorders>
              <w:top w:val="nil"/>
              <w:left w:val="nil"/>
              <w:bottom w:val="nil"/>
              <w:right w:val="nil"/>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0.1604</w:t>
            </w: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0.0896</w:t>
            </w: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0.2500</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0.0180</w:t>
            </w:r>
          </w:p>
        </w:tc>
        <w:tc>
          <w:tcPr>
            <w:tcW w:w="109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0.1000</w:t>
            </w:r>
          </w:p>
        </w:tc>
        <w:tc>
          <w:tcPr>
            <w:tcW w:w="1000"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0.1000</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0.3680</w:t>
            </w:r>
          </w:p>
        </w:tc>
      </w:tr>
      <w:tr>
        <w:tblPrEx>
          <w:tblLayout w:type="fixed"/>
          <w:tblCellMar>
            <w:top w:w="0" w:type="dxa"/>
            <w:left w:w="108" w:type="dxa"/>
            <w:bottom w:w="0" w:type="dxa"/>
            <w:right w:w="108" w:type="dxa"/>
          </w:tblCellMar>
        </w:tblPrEx>
        <w:trPr>
          <w:trHeight w:val="436" w:hRule="atLeast"/>
          <w:jc w:val="center"/>
        </w:trPr>
        <w:tc>
          <w:tcPr>
            <w:tcW w:w="1282"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巩义市</w:t>
            </w:r>
          </w:p>
        </w:tc>
        <w:tc>
          <w:tcPr>
            <w:tcW w:w="1002"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0.0333</w:t>
            </w:r>
          </w:p>
        </w:tc>
        <w:tc>
          <w:tcPr>
            <w:tcW w:w="1001"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0.0323</w:t>
            </w:r>
          </w:p>
        </w:tc>
        <w:tc>
          <w:tcPr>
            <w:tcW w:w="1000" w:type="dxa"/>
            <w:tcBorders>
              <w:top w:val="nil"/>
              <w:left w:val="nil"/>
              <w:bottom w:val="nil"/>
              <w:right w:val="nil"/>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0.2885</w:t>
            </w:r>
          </w:p>
        </w:tc>
        <w:tc>
          <w:tcPr>
            <w:tcW w:w="10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0.0271</w:t>
            </w: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001" w:type="dxa"/>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i w:val="0"/>
                <w:color w:val="auto"/>
                <w:kern w:val="0"/>
                <w:sz w:val="24"/>
                <w:szCs w:val="24"/>
                <w:u w:val="none"/>
                <w:lang w:val="en-US" w:eastAsia="zh-CN" w:bidi="ar"/>
              </w:rPr>
            </w:pPr>
          </w:p>
        </w:tc>
        <w:tc>
          <w:tcPr>
            <w:tcW w:w="126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0.3812</w:t>
            </w:r>
          </w:p>
        </w:tc>
        <w:tc>
          <w:tcPr>
            <w:tcW w:w="116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0.9724</w:t>
            </w:r>
          </w:p>
        </w:tc>
        <w:tc>
          <w:tcPr>
            <w:tcW w:w="109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0.0630</w:t>
            </w:r>
          </w:p>
        </w:tc>
        <w:tc>
          <w:tcPr>
            <w:tcW w:w="100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0.1299</w:t>
            </w:r>
          </w:p>
        </w:tc>
        <w:tc>
          <w:tcPr>
            <w:tcW w:w="100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0.1929</w:t>
            </w:r>
          </w:p>
        </w:tc>
        <w:tc>
          <w:tcPr>
            <w:tcW w:w="1259" w:type="dxa"/>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1.5465</w:t>
            </w:r>
          </w:p>
        </w:tc>
      </w:tr>
      <w:tr>
        <w:tblPrEx>
          <w:tblLayout w:type="fixed"/>
          <w:tblCellMar>
            <w:top w:w="0" w:type="dxa"/>
            <w:left w:w="108" w:type="dxa"/>
            <w:bottom w:w="0" w:type="dxa"/>
            <w:right w:w="108" w:type="dxa"/>
          </w:tblCellMar>
        </w:tblPrEx>
        <w:trPr>
          <w:trHeight w:val="520" w:hRule="atLeast"/>
          <w:jc w:val="center"/>
        </w:trPr>
        <w:tc>
          <w:tcPr>
            <w:tcW w:w="1282" w:type="dxa"/>
            <w:tcBorders>
              <w:top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合计</w:t>
            </w:r>
          </w:p>
        </w:tc>
        <w:tc>
          <w:tcPr>
            <w:tcW w:w="1002"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0.9257</w:t>
            </w:r>
          </w:p>
        </w:tc>
        <w:tc>
          <w:tcPr>
            <w:tcW w:w="1001"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0.1456</w:t>
            </w:r>
          </w:p>
        </w:tc>
        <w:tc>
          <w:tcPr>
            <w:tcW w:w="1000" w:type="dxa"/>
            <w:tcBorders>
              <w:top w:val="single" w:color="auto" w:sz="4" w:space="0"/>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0.3287</w:t>
            </w:r>
          </w:p>
        </w:tc>
        <w:tc>
          <w:tcPr>
            <w:tcW w:w="1003"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0.8393</w:t>
            </w:r>
          </w:p>
        </w:tc>
        <w:tc>
          <w:tcPr>
            <w:tcW w:w="1001"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3.2404</w:t>
            </w:r>
          </w:p>
        </w:tc>
        <w:tc>
          <w:tcPr>
            <w:tcW w:w="1001"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5.5645</w:t>
            </w:r>
          </w:p>
        </w:tc>
        <w:tc>
          <w:tcPr>
            <w:tcW w:w="1268"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11.0503</w:t>
            </w:r>
          </w:p>
        </w:tc>
        <w:tc>
          <w:tcPr>
            <w:tcW w:w="1165"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7.0107</w:t>
            </w:r>
          </w:p>
        </w:tc>
        <w:tc>
          <w:tcPr>
            <w:tcW w:w="1095"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2.3996</w:t>
            </w:r>
          </w:p>
        </w:tc>
        <w:tc>
          <w:tcPr>
            <w:tcW w:w="1000"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0.2459</w:t>
            </w:r>
          </w:p>
        </w:tc>
        <w:tc>
          <w:tcPr>
            <w:tcW w:w="1003"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2.6455</w:t>
            </w:r>
          </w:p>
        </w:tc>
        <w:tc>
          <w:tcPr>
            <w:tcW w:w="1259" w:type="dxa"/>
            <w:tcBorders>
              <w:top w:val="nil"/>
              <w:left w:val="nil"/>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20.7064</w:t>
            </w:r>
          </w:p>
        </w:tc>
      </w:tr>
    </w:tbl>
    <w:p>
      <w:pPr>
        <w:rPr>
          <w:rFonts w:hint="default" w:ascii="Times New Roman" w:hAnsi="Times New Roman" w:eastAsia="仿宋" w:cs="Times New Roman"/>
          <w:sz w:val="24"/>
        </w:rPr>
      </w:pPr>
    </w:p>
    <w:p>
      <w:pPr>
        <w:pStyle w:val="2"/>
        <w:rPr>
          <w:rFonts w:hint="default"/>
        </w:rPr>
      </w:pPr>
    </w:p>
    <w:p>
      <w:pPr>
        <w:snapToGrid w:val="0"/>
        <w:spacing w:line="360" w:lineRule="auto"/>
        <w:jc w:val="center"/>
        <w:rPr>
          <w:rFonts w:hint="default" w:ascii="Times New Roman" w:hAnsi="Times New Roman" w:eastAsia="黑体" w:cs="Times New Roman"/>
          <w:sz w:val="28"/>
        </w:rPr>
      </w:pPr>
      <w:r>
        <w:rPr>
          <w:rFonts w:hint="default" w:ascii="Times New Roman" w:hAnsi="Times New Roman" w:eastAsia="黑体" w:cs="Times New Roman"/>
          <w:bCs/>
          <w:sz w:val="28"/>
          <w:szCs w:val="28"/>
        </w:rPr>
        <w:t>表12</w:t>
      </w:r>
      <w:r>
        <w:rPr>
          <w:rFonts w:hint="eastAsia" w:eastAsia="黑体" w:cs="Times New Roman"/>
          <w:bCs/>
          <w:sz w:val="28"/>
          <w:szCs w:val="28"/>
          <w:lang w:val="en-US" w:eastAsia="zh-CN"/>
        </w:rPr>
        <w:t xml:space="preserve">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年郑州市行政分区用水量表</w:t>
      </w:r>
    </w:p>
    <w:tbl>
      <w:tblPr>
        <w:tblStyle w:val="23"/>
        <w:tblW w:w="14039" w:type="dxa"/>
        <w:tblInd w:w="103" w:type="dxa"/>
        <w:tblLayout w:type="fixed"/>
        <w:tblCellMar>
          <w:top w:w="0" w:type="dxa"/>
          <w:left w:w="108" w:type="dxa"/>
          <w:bottom w:w="0" w:type="dxa"/>
          <w:right w:w="108" w:type="dxa"/>
        </w:tblCellMar>
      </w:tblPr>
      <w:tblGrid>
        <w:gridCol w:w="1423"/>
        <w:gridCol w:w="1"/>
        <w:gridCol w:w="1279"/>
        <w:gridCol w:w="132"/>
        <w:gridCol w:w="1144"/>
        <w:gridCol w:w="266"/>
        <w:gridCol w:w="1010"/>
        <w:gridCol w:w="400"/>
        <w:gridCol w:w="1017"/>
        <w:gridCol w:w="393"/>
        <w:gridCol w:w="883"/>
        <w:gridCol w:w="527"/>
        <w:gridCol w:w="673"/>
        <w:gridCol w:w="638"/>
        <w:gridCol w:w="572"/>
        <w:gridCol w:w="838"/>
        <w:gridCol w:w="296"/>
        <w:gridCol w:w="1114"/>
        <w:gridCol w:w="303"/>
        <w:gridCol w:w="1107"/>
        <w:gridCol w:w="23"/>
      </w:tblGrid>
      <w:tr>
        <w:tblPrEx>
          <w:tblLayout w:type="fixed"/>
          <w:tblCellMar>
            <w:top w:w="0" w:type="dxa"/>
            <w:left w:w="108" w:type="dxa"/>
            <w:bottom w:w="0" w:type="dxa"/>
            <w:right w:w="108" w:type="dxa"/>
          </w:tblCellMar>
        </w:tblPrEx>
        <w:trPr>
          <w:trHeight w:val="311" w:hRule="atLeast"/>
        </w:trPr>
        <w:tc>
          <w:tcPr>
            <w:tcW w:w="1423" w:type="dxa"/>
            <w:vMerge w:val="restart"/>
            <w:tcBorders>
              <w:top w:val="single" w:color="auto" w:sz="12"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行政分区</w:t>
            </w:r>
          </w:p>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名称</w:t>
            </w:r>
          </w:p>
        </w:tc>
        <w:tc>
          <w:tcPr>
            <w:tcW w:w="8935" w:type="dxa"/>
            <w:gridSpan w:val="14"/>
            <w:tcBorders>
              <w:top w:val="single" w:color="auto" w:sz="12"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农业用水量（亿m</w:t>
            </w:r>
            <w:r>
              <w:rPr>
                <w:rFonts w:hint="default" w:ascii="Times New Roman" w:hAnsi="Times New Roman" w:eastAsia="仿宋" w:cs="Times New Roman"/>
                <w:color w:val="000000"/>
                <w:kern w:val="0"/>
                <w:sz w:val="24"/>
                <w:vertAlign w:val="superscript"/>
              </w:rPr>
              <w:t>3</w:t>
            </w:r>
            <w:r>
              <w:rPr>
                <w:rFonts w:hint="default" w:ascii="Times New Roman" w:hAnsi="Times New Roman" w:eastAsia="仿宋" w:cs="Times New Roman"/>
                <w:color w:val="000000"/>
                <w:kern w:val="0"/>
                <w:sz w:val="24"/>
              </w:rPr>
              <w:t>）</w:t>
            </w:r>
          </w:p>
        </w:tc>
        <w:tc>
          <w:tcPr>
            <w:tcW w:w="3681" w:type="dxa"/>
            <w:gridSpan w:val="6"/>
            <w:tcBorders>
              <w:top w:val="single" w:color="auto" w:sz="12" w:space="0"/>
              <w:left w:val="single" w:color="auto" w:sz="4" w:space="0"/>
              <w:bottom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工业用水量（亿m</w:t>
            </w:r>
            <w:r>
              <w:rPr>
                <w:rFonts w:hint="default" w:ascii="Times New Roman" w:hAnsi="Times New Roman" w:eastAsia="仿宋" w:cs="Times New Roman"/>
                <w:color w:val="000000"/>
                <w:kern w:val="0"/>
                <w:sz w:val="24"/>
                <w:vertAlign w:val="superscript"/>
              </w:rPr>
              <w:t>3</w:t>
            </w:r>
            <w:r>
              <w:rPr>
                <w:rFonts w:hint="default" w:ascii="Times New Roman" w:hAnsi="Times New Roman" w:eastAsia="仿宋" w:cs="Times New Roman"/>
                <w:color w:val="000000"/>
                <w:kern w:val="0"/>
                <w:sz w:val="24"/>
              </w:rPr>
              <w:t>）</w:t>
            </w:r>
          </w:p>
        </w:tc>
      </w:tr>
      <w:tr>
        <w:tblPrEx>
          <w:tblLayout w:type="fixed"/>
          <w:tblCellMar>
            <w:top w:w="0" w:type="dxa"/>
            <w:left w:w="108" w:type="dxa"/>
            <w:bottom w:w="0" w:type="dxa"/>
            <w:right w:w="108" w:type="dxa"/>
          </w:tblCellMar>
        </w:tblPrEx>
        <w:trPr>
          <w:trHeight w:val="285" w:hRule="atLeast"/>
        </w:trPr>
        <w:tc>
          <w:tcPr>
            <w:tcW w:w="1423" w:type="dxa"/>
            <w:vMerge w:val="continue"/>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5249" w:type="dxa"/>
            <w:gridSpan w:val="8"/>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农业灌溉</w:t>
            </w:r>
          </w:p>
        </w:tc>
        <w:tc>
          <w:tcPr>
            <w:tcW w:w="1276"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渔塘补水</w:t>
            </w:r>
          </w:p>
        </w:tc>
        <w:tc>
          <w:tcPr>
            <w:tcW w:w="1200"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畜禽用水</w:t>
            </w:r>
          </w:p>
        </w:tc>
        <w:tc>
          <w:tcPr>
            <w:tcW w:w="1210"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小计</w:t>
            </w:r>
          </w:p>
        </w:tc>
        <w:tc>
          <w:tcPr>
            <w:tcW w:w="1134"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火(核)电</w:t>
            </w:r>
          </w:p>
        </w:tc>
        <w:tc>
          <w:tcPr>
            <w:tcW w:w="1417" w:type="dxa"/>
            <w:gridSpan w:val="2"/>
            <w:vMerge w:val="restart"/>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非火(核)电</w:t>
            </w:r>
          </w:p>
        </w:tc>
        <w:tc>
          <w:tcPr>
            <w:tcW w:w="1130" w:type="dxa"/>
            <w:gridSpan w:val="2"/>
            <w:vMerge w:val="restart"/>
            <w:tcBorders>
              <w:top w:val="nil"/>
              <w:left w:val="single" w:color="auto" w:sz="4" w:space="0"/>
              <w:bottom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小计</w:t>
            </w:r>
          </w:p>
        </w:tc>
      </w:tr>
      <w:tr>
        <w:tblPrEx>
          <w:tblLayout w:type="fixed"/>
          <w:tblCellMar>
            <w:top w:w="0" w:type="dxa"/>
            <w:left w:w="108" w:type="dxa"/>
            <w:bottom w:w="0" w:type="dxa"/>
            <w:right w:w="108" w:type="dxa"/>
          </w:tblCellMar>
        </w:tblPrEx>
        <w:trPr>
          <w:trHeight w:val="285" w:hRule="atLeast"/>
        </w:trPr>
        <w:tc>
          <w:tcPr>
            <w:tcW w:w="1423" w:type="dxa"/>
            <w:vMerge w:val="continue"/>
            <w:tcBorders>
              <w:top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280" w:type="dxa"/>
            <w:gridSpan w:val="2"/>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耕地灌溉</w:t>
            </w:r>
          </w:p>
        </w:tc>
        <w:tc>
          <w:tcPr>
            <w:tcW w:w="1276" w:type="dxa"/>
            <w:gridSpan w:val="2"/>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林地灌溉</w:t>
            </w:r>
          </w:p>
        </w:tc>
        <w:tc>
          <w:tcPr>
            <w:tcW w:w="1276" w:type="dxa"/>
            <w:gridSpan w:val="2"/>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园地灌溉</w:t>
            </w:r>
          </w:p>
        </w:tc>
        <w:tc>
          <w:tcPr>
            <w:tcW w:w="1417" w:type="dxa"/>
            <w:gridSpan w:val="2"/>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牧草地灌溉</w:t>
            </w:r>
          </w:p>
        </w:tc>
        <w:tc>
          <w:tcPr>
            <w:tcW w:w="1276" w:type="dxa"/>
            <w:gridSpan w:val="2"/>
            <w:vMerge w:val="continue"/>
            <w:tcBorders>
              <w:top w:val="nil"/>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200" w:type="dxa"/>
            <w:gridSpan w:val="2"/>
            <w:vMerge w:val="continue"/>
            <w:tcBorders>
              <w:top w:val="nil"/>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210" w:type="dxa"/>
            <w:gridSpan w:val="2"/>
            <w:vMerge w:val="continue"/>
            <w:tcBorders>
              <w:top w:val="nil"/>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134" w:type="dxa"/>
            <w:gridSpan w:val="2"/>
            <w:vMerge w:val="continue"/>
            <w:tcBorders>
              <w:top w:val="nil"/>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417" w:type="dxa"/>
            <w:gridSpan w:val="2"/>
            <w:vMerge w:val="continue"/>
            <w:tcBorders>
              <w:top w:val="nil"/>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130" w:type="dxa"/>
            <w:gridSpan w:val="2"/>
            <w:vMerge w:val="continue"/>
            <w:tcBorders>
              <w:top w:val="nil"/>
              <w:left w:val="single" w:color="auto" w:sz="4" w:space="0"/>
              <w:bottom w:val="single" w:color="auto" w:sz="12" w:space="0"/>
            </w:tcBorders>
            <w:vAlign w:val="center"/>
          </w:tcPr>
          <w:p>
            <w:pPr>
              <w:widowControl/>
              <w:jc w:val="center"/>
              <w:rPr>
                <w:rFonts w:hint="default" w:ascii="Times New Roman" w:hAnsi="Times New Roman" w:eastAsia="仿宋" w:cs="Times New Roman"/>
                <w:color w:val="000000"/>
                <w:kern w:val="0"/>
                <w:sz w:val="24"/>
              </w:rPr>
            </w:pPr>
          </w:p>
        </w:tc>
      </w:tr>
      <w:tr>
        <w:tblPrEx>
          <w:tblLayout w:type="fixed"/>
          <w:tblCellMar>
            <w:top w:w="0" w:type="dxa"/>
            <w:left w:w="108" w:type="dxa"/>
            <w:bottom w:w="0" w:type="dxa"/>
            <w:right w:w="108" w:type="dxa"/>
          </w:tblCellMar>
        </w:tblPrEx>
        <w:trPr>
          <w:trHeight w:val="285" w:hRule="atLeast"/>
        </w:trPr>
        <w:tc>
          <w:tcPr>
            <w:tcW w:w="1423" w:type="dxa"/>
            <w:tcBorders>
              <w:top w:val="single" w:color="auto" w:sz="12"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新密市</w:t>
            </w:r>
          </w:p>
        </w:tc>
        <w:tc>
          <w:tcPr>
            <w:tcW w:w="1280" w:type="dxa"/>
            <w:gridSpan w:val="2"/>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0.1430</w:t>
            </w:r>
          </w:p>
        </w:tc>
        <w:tc>
          <w:tcPr>
            <w:tcW w:w="1276" w:type="dxa"/>
            <w:gridSpan w:val="2"/>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0.0144</w:t>
            </w:r>
          </w:p>
        </w:tc>
        <w:tc>
          <w:tcPr>
            <w:tcW w:w="1200" w:type="dxa"/>
            <w:gridSpan w:val="2"/>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0.0312</w:t>
            </w:r>
          </w:p>
        </w:tc>
        <w:tc>
          <w:tcPr>
            <w:tcW w:w="1210" w:type="dxa"/>
            <w:gridSpan w:val="2"/>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0.1886</w:t>
            </w:r>
          </w:p>
        </w:tc>
        <w:tc>
          <w:tcPr>
            <w:tcW w:w="1134" w:type="dxa"/>
            <w:gridSpan w:val="2"/>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0.0822</w:t>
            </w:r>
          </w:p>
        </w:tc>
        <w:tc>
          <w:tcPr>
            <w:tcW w:w="1417" w:type="dxa"/>
            <w:gridSpan w:val="2"/>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0.6392</w:t>
            </w:r>
          </w:p>
        </w:tc>
        <w:tc>
          <w:tcPr>
            <w:tcW w:w="1130" w:type="dxa"/>
            <w:gridSpan w:val="2"/>
            <w:tcBorders>
              <w:top w:val="single" w:color="auto" w:sz="12" w:space="0"/>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0.7214</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新郑市</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0.4406</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0.0178</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0.0253</w:t>
            </w: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0.0552</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0.5389</w:t>
            </w:r>
          </w:p>
        </w:tc>
        <w:tc>
          <w:tcPr>
            <w:tcW w:w="1134"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0.4620</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0.4620</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荥阳市</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0.5300</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0.0100</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0.0010</w:t>
            </w: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0.0990</w:t>
            </w: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0.0400</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0.6800</w:t>
            </w:r>
          </w:p>
        </w:tc>
        <w:tc>
          <w:tcPr>
            <w:tcW w:w="1134"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0.0079</w:t>
            </w: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0.6721</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0.6800</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登封市</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0.1696</w:t>
            </w: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0.1620</w:t>
            </w: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0.0310</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0.3626</w:t>
            </w:r>
          </w:p>
        </w:tc>
        <w:tc>
          <w:tcPr>
            <w:tcW w:w="1134"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0.1739</w:t>
            </w: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0.3752</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0.5491</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中牟县</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1.5723</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0.0093</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0.0155</w:t>
            </w: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0.0670</w:t>
            </w: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0.0549</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1.7190</w:t>
            </w:r>
          </w:p>
        </w:tc>
        <w:tc>
          <w:tcPr>
            <w:tcW w:w="1134"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0.1100</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0.1100</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郑州市区</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0.0598</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0.0116</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0.0160</w:t>
            </w: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0.0549</w:t>
            </w: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0.0097</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0.1520</w:t>
            </w:r>
          </w:p>
        </w:tc>
        <w:tc>
          <w:tcPr>
            <w:tcW w:w="1134"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0.0057</w:t>
            </w: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1.3625</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1.3682</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航空港区</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0.1000</w:t>
            </w: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0.0100</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0.1100</w:t>
            </w:r>
          </w:p>
        </w:tc>
        <w:tc>
          <w:tcPr>
            <w:tcW w:w="1134"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0.6400</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0.6400</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上街区</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0.0050</w:t>
            </w: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0.0007</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0.0057</w:t>
            </w:r>
          </w:p>
        </w:tc>
        <w:tc>
          <w:tcPr>
            <w:tcW w:w="1134"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0.1700</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0.1700</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巩义市</w:t>
            </w:r>
          </w:p>
        </w:tc>
        <w:tc>
          <w:tcPr>
            <w:tcW w:w="128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0.3877</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0.0256</w:t>
            </w: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0.0277</w:t>
            </w:r>
          </w:p>
        </w:tc>
        <w:tc>
          <w:tcPr>
            <w:tcW w:w="1417" w:type="dxa"/>
            <w:gridSpan w:val="2"/>
            <w:tcBorders>
              <w:top w:val="nil"/>
              <w:left w:val="nil"/>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276"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0.0185</w:t>
            </w:r>
          </w:p>
        </w:tc>
        <w:tc>
          <w:tcPr>
            <w:tcW w:w="120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0.0155</w:t>
            </w:r>
          </w:p>
        </w:tc>
        <w:tc>
          <w:tcPr>
            <w:tcW w:w="1210"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0.4750</w:t>
            </w:r>
          </w:p>
        </w:tc>
        <w:tc>
          <w:tcPr>
            <w:tcW w:w="1134"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0.1421</w:t>
            </w:r>
          </w:p>
        </w:tc>
        <w:tc>
          <w:tcPr>
            <w:tcW w:w="1417" w:type="dxa"/>
            <w:gridSpan w:val="2"/>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0.4241</w:t>
            </w:r>
          </w:p>
        </w:tc>
        <w:tc>
          <w:tcPr>
            <w:tcW w:w="1130" w:type="dxa"/>
            <w:gridSpan w:val="2"/>
            <w:tcBorders>
              <w:top w:val="nil"/>
              <w:left w:val="nil"/>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0.5662</w:t>
            </w:r>
          </w:p>
        </w:tc>
      </w:tr>
      <w:tr>
        <w:tblPrEx>
          <w:tblLayout w:type="fixed"/>
          <w:tblCellMar>
            <w:top w:w="0" w:type="dxa"/>
            <w:left w:w="108" w:type="dxa"/>
            <w:bottom w:w="0" w:type="dxa"/>
            <w:right w:w="108" w:type="dxa"/>
          </w:tblCellMar>
        </w:tblPrEx>
        <w:trPr>
          <w:trHeight w:val="285" w:hRule="atLeast"/>
        </w:trPr>
        <w:tc>
          <w:tcPr>
            <w:tcW w:w="1423" w:type="dxa"/>
            <w:tcBorders>
              <w:top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i w:val="0"/>
                <w:color w:val="000000"/>
                <w:kern w:val="0"/>
                <w:sz w:val="24"/>
                <w:szCs w:val="24"/>
                <w:u w:val="none"/>
                <w:lang w:val="en-US" w:eastAsia="zh-CN" w:bidi="ar"/>
              </w:rPr>
              <w:t>合计</w:t>
            </w:r>
          </w:p>
        </w:tc>
        <w:tc>
          <w:tcPr>
            <w:tcW w:w="1280"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3.4080</w:t>
            </w:r>
          </w:p>
        </w:tc>
        <w:tc>
          <w:tcPr>
            <w:tcW w:w="1276"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0.0743</w:t>
            </w:r>
          </w:p>
        </w:tc>
        <w:tc>
          <w:tcPr>
            <w:tcW w:w="1276"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0.0855</w:t>
            </w:r>
          </w:p>
        </w:tc>
        <w:tc>
          <w:tcPr>
            <w:tcW w:w="1417"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0.0000</w:t>
            </w:r>
          </w:p>
        </w:tc>
        <w:tc>
          <w:tcPr>
            <w:tcW w:w="1276"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0.4158</w:t>
            </w:r>
          </w:p>
        </w:tc>
        <w:tc>
          <w:tcPr>
            <w:tcW w:w="1200"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0.2482</w:t>
            </w:r>
          </w:p>
        </w:tc>
        <w:tc>
          <w:tcPr>
            <w:tcW w:w="1210"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4.2318</w:t>
            </w:r>
          </w:p>
        </w:tc>
        <w:tc>
          <w:tcPr>
            <w:tcW w:w="1134"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0.4118</w:t>
            </w:r>
          </w:p>
        </w:tc>
        <w:tc>
          <w:tcPr>
            <w:tcW w:w="1417" w:type="dxa"/>
            <w:gridSpan w:val="2"/>
            <w:tcBorders>
              <w:top w:val="nil"/>
              <w:left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4.8551</w:t>
            </w:r>
          </w:p>
        </w:tc>
        <w:tc>
          <w:tcPr>
            <w:tcW w:w="1130" w:type="dxa"/>
            <w:gridSpan w:val="2"/>
            <w:tcBorders>
              <w:top w:val="nil"/>
              <w:left w:val="nil"/>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5.2669</w:t>
            </w:r>
          </w:p>
        </w:tc>
      </w:tr>
      <w:tr>
        <w:tblPrEx>
          <w:tblLayout w:type="fixed"/>
          <w:tblCellMar>
            <w:top w:w="0" w:type="dxa"/>
            <w:left w:w="108" w:type="dxa"/>
            <w:bottom w:w="0" w:type="dxa"/>
            <w:right w:w="108" w:type="dxa"/>
          </w:tblCellMar>
        </w:tblPrEx>
        <w:trPr>
          <w:gridAfter w:val="1"/>
          <w:wAfter w:w="23" w:type="dxa"/>
          <w:trHeight w:val="311" w:hRule="atLeast"/>
        </w:trPr>
        <w:tc>
          <w:tcPr>
            <w:tcW w:w="1424" w:type="dxa"/>
            <w:gridSpan w:val="2"/>
            <w:vMerge w:val="restart"/>
            <w:tcBorders>
              <w:top w:val="single" w:color="auto" w:sz="12"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行政分区</w:t>
            </w:r>
          </w:p>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名称</w:t>
            </w:r>
          </w:p>
        </w:tc>
        <w:tc>
          <w:tcPr>
            <w:tcW w:w="7051" w:type="dxa"/>
            <w:gridSpan w:val="10"/>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生活用水量（</w:t>
            </w:r>
            <w:r>
              <w:rPr>
                <w:rFonts w:hint="default" w:ascii="Times New Roman" w:hAnsi="Times New Roman" w:eastAsia="仿宋" w:cs="Times New Roman"/>
                <w:color w:val="000000"/>
                <w:kern w:val="0"/>
                <w:sz w:val="24"/>
              </w:rPr>
              <w:t>亿</w:t>
            </w:r>
            <w:r>
              <w:rPr>
                <w:rFonts w:hint="default" w:ascii="Times New Roman" w:hAnsi="Times New Roman" w:eastAsia="仿宋" w:cs="Times New Roman"/>
                <w:color w:val="000000"/>
                <w:sz w:val="24"/>
              </w:rPr>
              <w:t>m</w:t>
            </w:r>
            <w:r>
              <w:rPr>
                <w:rFonts w:hint="default" w:ascii="Times New Roman" w:hAnsi="Times New Roman" w:eastAsia="仿宋" w:cs="Times New Roman"/>
                <w:color w:val="000000"/>
                <w:sz w:val="24"/>
                <w:vertAlign w:val="superscript"/>
              </w:rPr>
              <w:t>3</w:t>
            </w:r>
            <w:r>
              <w:rPr>
                <w:rFonts w:hint="default" w:ascii="Times New Roman" w:hAnsi="Times New Roman" w:eastAsia="仿宋" w:cs="Times New Roman"/>
                <w:color w:val="000000"/>
                <w:sz w:val="24"/>
              </w:rPr>
              <w:t>）</w:t>
            </w:r>
          </w:p>
        </w:tc>
        <w:tc>
          <w:tcPr>
            <w:tcW w:w="4131" w:type="dxa"/>
            <w:gridSpan w:val="6"/>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生态环境用水量（</w:t>
            </w:r>
            <w:r>
              <w:rPr>
                <w:rFonts w:hint="default" w:ascii="Times New Roman" w:hAnsi="Times New Roman" w:eastAsia="仿宋" w:cs="Times New Roman"/>
                <w:color w:val="000000"/>
                <w:kern w:val="0"/>
                <w:sz w:val="24"/>
              </w:rPr>
              <w:t>亿</w:t>
            </w:r>
            <w:r>
              <w:rPr>
                <w:rFonts w:hint="default" w:ascii="Times New Roman" w:hAnsi="Times New Roman" w:eastAsia="仿宋" w:cs="Times New Roman"/>
                <w:color w:val="000000"/>
                <w:sz w:val="24"/>
              </w:rPr>
              <w:t>m</w:t>
            </w:r>
            <w:r>
              <w:rPr>
                <w:rFonts w:hint="default" w:ascii="Times New Roman" w:hAnsi="Times New Roman" w:eastAsia="仿宋" w:cs="Times New Roman"/>
                <w:color w:val="000000"/>
                <w:sz w:val="24"/>
                <w:vertAlign w:val="superscript"/>
              </w:rPr>
              <w:t>3</w:t>
            </w:r>
            <w:r>
              <w:rPr>
                <w:rFonts w:hint="default" w:ascii="Times New Roman" w:hAnsi="Times New Roman" w:eastAsia="仿宋" w:cs="Times New Roman"/>
                <w:color w:val="000000"/>
                <w:sz w:val="24"/>
              </w:rPr>
              <w:t>）</w:t>
            </w:r>
          </w:p>
        </w:tc>
        <w:tc>
          <w:tcPr>
            <w:tcW w:w="1410" w:type="dxa"/>
            <w:gridSpan w:val="2"/>
            <w:vMerge w:val="restart"/>
            <w:tcBorders>
              <w:top w:val="single" w:color="auto" w:sz="12" w:space="0"/>
              <w:left w:val="single" w:color="auto" w:sz="4" w:space="0"/>
            </w:tcBorders>
            <w:vAlign w:val="center"/>
          </w:tcPr>
          <w:p>
            <w:pPr>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总用水量（</w:t>
            </w:r>
            <w:r>
              <w:rPr>
                <w:rFonts w:hint="default" w:ascii="Times New Roman" w:hAnsi="Times New Roman" w:eastAsia="仿宋" w:cs="Times New Roman"/>
                <w:color w:val="000000"/>
                <w:kern w:val="0"/>
                <w:sz w:val="24"/>
              </w:rPr>
              <w:t>亿</w:t>
            </w:r>
            <w:r>
              <w:rPr>
                <w:rFonts w:hint="default" w:ascii="Times New Roman" w:hAnsi="Times New Roman" w:eastAsia="仿宋" w:cs="Times New Roman"/>
                <w:color w:val="000000"/>
                <w:sz w:val="24"/>
              </w:rPr>
              <w:t>m</w:t>
            </w:r>
            <w:r>
              <w:rPr>
                <w:rFonts w:hint="default" w:ascii="Times New Roman" w:hAnsi="Times New Roman" w:eastAsia="仿宋" w:cs="Times New Roman"/>
                <w:color w:val="000000"/>
                <w:sz w:val="24"/>
                <w:vertAlign w:val="superscript"/>
              </w:rPr>
              <w:t>3</w:t>
            </w:r>
            <w:r>
              <w:rPr>
                <w:rFonts w:hint="default" w:ascii="Times New Roman" w:hAnsi="Times New Roman" w:eastAsia="仿宋" w:cs="Times New Roman"/>
                <w:color w:val="000000"/>
                <w:sz w:val="24"/>
              </w:rPr>
              <w:t>）</w:t>
            </w:r>
          </w:p>
        </w:tc>
      </w:tr>
      <w:tr>
        <w:tblPrEx>
          <w:tblLayout w:type="fixed"/>
          <w:tblCellMar>
            <w:top w:w="0" w:type="dxa"/>
            <w:left w:w="108" w:type="dxa"/>
            <w:bottom w:w="0" w:type="dxa"/>
            <w:right w:w="108" w:type="dxa"/>
          </w:tblCellMar>
        </w:tblPrEx>
        <w:trPr>
          <w:gridAfter w:val="1"/>
          <w:wAfter w:w="23" w:type="dxa"/>
          <w:trHeight w:val="311" w:hRule="atLeast"/>
        </w:trPr>
        <w:tc>
          <w:tcPr>
            <w:tcW w:w="1424" w:type="dxa"/>
            <w:gridSpan w:val="2"/>
            <w:vMerge w:val="continue"/>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2821"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居民生活</w:t>
            </w:r>
          </w:p>
        </w:tc>
        <w:tc>
          <w:tcPr>
            <w:tcW w:w="1410" w:type="dxa"/>
            <w:gridSpan w:val="2"/>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第三产业</w:t>
            </w:r>
          </w:p>
        </w:tc>
        <w:tc>
          <w:tcPr>
            <w:tcW w:w="1410" w:type="dxa"/>
            <w:gridSpan w:val="2"/>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建筑业</w:t>
            </w:r>
          </w:p>
        </w:tc>
        <w:tc>
          <w:tcPr>
            <w:tcW w:w="1410" w:type="dxa"/>
            <w:gridSpan w:val="2"/>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小计</w:t>
            </w:r>
          </w:p>
        </w:tc>
        <w:tc>
          <w:tcPr>
            <w:tcW w:w="1311" w:type="dxa"/>
            <w:gridSpan w:val="2"/>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河湖补水</w:t>
            </w:r>
          </w:p>
        </w:tc>
        <w:tc>
          <w:tcPr>
            <w:tcW w:w="1410" w:type="dxa"/>
            <w:gridSpan w:val="2"/>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城镇环境</w:t>
            </w:r>
          </w:p>
        </w:tc>
        <w:tc>
          <w:tcPr>
            <w:tcW w:w="1410" w:type="dxa"/>
            <w:gridSpan w:val="2"/>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小计</w:t>
            </w:r>
          </w:p>
        </w:tc>
        <w:tc>
          <w:tcPr>
            <w:tcW w:w="1410" w:type="dxa"/>
            <w:gridSpan w:val="2"/>
            <w:vMerge w:val="continue"/>
            <w:tcBorders>
              <w:left w:val="single" w:color="auto" w:sz="4" w:space="0"/>
            </w:tcBorders>
            <w:vAlign w:val="center"/>
          </w:tcPr>
          <w:p>
            <w:pPr>
              <w:widowControl/>
              <w:jc w:val="center"/>
              <w:rPr>
                <w:rFonts w:hint="default" w:ascii="Times New Roman" w:hAnsi="Times New Roman" w:eastAsia="仿宋" w:cs="Times New Roman"/>
                <w:color w:val="000000"/>
                <w:kern w:val="0"/>
                <w:sz w:val="24"/>
              </w:rPr>
            </w:pPr>
          </w:p>
        </w:tc>
      </w:tr>
      <w:tr>
        <w:tblPrEx>
          <w:tblLayout w:type="fixed"/>
          <w:tblCellMar>
            <w:top w:w="0" w:type="dxa"/>
            <w:left w:w="108" w:type="dxa"/>
            <w:bottom w:w="0" w:type="dxa"/>
            <w:right w:w="108" w:type="dxa"/>
          </w:tblCellMar>
        </w:tblPrEx>
        <w:trPr>
          <w:gridAfter w:val="1"/>
          <w:wAfter w:w="23" w:type="dxa"/>
          <w:trHeight w:val="311" w:hRule="atLeast"/>
        </w:trPr>
        <w:tc>
          <w:tcPr>
            <w:tcW w:w="1424" w:type="dxa"/>
            <w:gridSpan w:val="2"/>
            <w:vMerge w:val="continue"/>
            <w:tcBorders>
              <w:top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411" w:type="dxa"/>
            <w:gridSpan w:val="2"/>
            <w:tcBorders>
              <w:top w:val="single" w:color="auto" w:sz="4" w:space="0"/>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城镇</w:t>
            </w:r>
          </w:p>
        </w:tc>
        <w:tc>
          <w:tcPr>
            <w:tcW w:w="1410" w:type="dxa"/>
            <w:gridSpan w:val="2"/>
            <w:tcBorders>
              <w:top w:val="single" w:color="auto" w:sz="4" w:space="0"/>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sz w:val="24"/>
              </w:rPr>
              <w:t>农村</w:t>
            </w:r>
          </w:p>
        </w:tc>
        <w:tc>
          <w:tcPr>
            <w:tcW w:w="1410" w:type="dxa"/>
            <w:gridSpan w:val="2"/>
            <w:vMerge w:val="continue"/>
            <w:tcBorders>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410" w:type="dxa"/>
            <w:gridSpan w:val="2"/>
            <w:vMerge w:val="continue"/>
            <w:tcBorders>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410" w:type="dxa"/>
            <w:gridSpan w:val="2"/>
            <w:vMerge w:val="continue"/>
            <w:tcBorders>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311" w:type="dxa"/>
            <w:gridSpan w:val="2"/>
            <w:vMerge w:val="continue"/>
            <w:tcBorders>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410" w:type="dxa"/>
            <w:gridSpan w:val="2"/>
            <w:vMerge w:val="continue"/>
            <w:tcBorders>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410" w:type="dxa"/>
            <w:gridSpan w:val="2"/>
            <w:vMerge w:val="continue"/>
            <w:tcBorders>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p>
        </w:tc>
        <w:tc>
          <w:tcPr>
            <w:tcW w:w="1410" w:type="dxa"/>
            <w:gridSpan w:val="2"/>
            <w:vMerge w:val="continue"/>
            <w:tcBorders>
              <w:left w:val="single" w:color="auto" w:sz="4" w:space="0"/>
              <w:bottom w:val="single" w:color="auto" w:sz="12" w:space="0"/>
            </w:tcBorders>
            <w:vAlign w:val="center"/>
          </w:tcPr>
          <w:p>
            <w:pPr>
              <w:widowControl/>
              <w:jc w:val="center"/>
              <w:rPr>
                <w:rFonts w:hint="default" w:ascii="Times New Roman" w:hAnsi="Times New Roman" w:eastAsia="仿宋" w:cs="Times New Roman"/>
                <w:color w:val="000000"/>
                <w:kern w:val="0"/>
                <w:sz w:val="24"/>
              </w:rPr>
            </w:pP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single" w:color="auto" w:sz="12"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新密市</w:t>
            </w:r>
          </w:p>
        </w:tc>
        <w:tc>
          <w:tcPr>
            <w:tcW w:w="1411"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0.1935</w:t>
            </w:r>
          </w:p>
        </w:tc>
        <w:tc>
          <w:tcPr>
            <w:tcW w:w="141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0.1078</w:t>
            </w:r>
          </w:p>
        </w:tc>
        <w:tc>
          <w:tcPr>
            <w:tcW w:w="141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0.0632</w:t>
            </w:r>
          </w:p>
        </w:tc>
        <w:tc>
          <w:tcPr>
            <w:tcW w:w="1410" w:type="dxa"/>
            <w:gridSpan w:val="2"/>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0.3645</w:t>
            </w:r>
          </w:p>
        </w:tc>
        <w:tc>
          <w:tcPr>
            <w:tcW w:w="1311"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0.0310</w:t>
            </w:r>
          </w:p>
        </w:tc>
        <w:tc>
          <w:tcPr>
            <w:tcW w:w="141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0.0720</w:t>
            </w:r>
          </w:p>
        </w:tc>
        <w:tc>
          <w:tcPr>
            <w:tcW w:w="141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0.1030</w:t>
            </w:r>
          </w:p>
        </w:tc>
        <w:tc>
          <w:tcPr>
            <w:tcW w:w="1410" w:type="dxa"/>
            <w:gridSpan w:val="2"/>
            <w:tcBorders>
              <w:top w:val="single" w:color="auto" w:sz="12"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1.3775</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新郑市</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0.2178</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0.0607</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0.0408</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0.0415</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0.3608</w:t>
            </w:r>
          </w:p>
        </w:tc>
        <w:tc>
          <w:tcPr>
            <w:tcW w:w="13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0.5046</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0.0520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0.5566</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1.9183</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荥阳市</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0.1200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0.0480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0.0700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0.2480</w:t>
            </w:r>
          </w:p>
        </w:tc>
        <w:tc>
          <w:tcPr>
            <w:tcW w:w="13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0.0600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0.0020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0.0620</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1.6700</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登封市</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0.2280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0.1130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0.0320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0.0160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0.3890</w:t>
            </w:r>
          </w:p>
        </w:tc>
        <w:tc>
          <w:tcPr>
            <w:tcW w:w="1311" w:type="dxa"/>
            <w:gridSpan w:val="2"/>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eastAsia="仿宋" w:cs="Times New Roman"/>
                <w:color w:val="auto"/>
                <w:kern w:val="0"/>
                <w:sz w:val="24"/>
              </w:rPr>
            </w:pP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0.1200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0.1200</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1.4207</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中牟县</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0.0862</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0.0583</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0.0360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0.0151</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0.1956</w:t>
            </w:r>
          </w:p>
        </w:tc>
        <w:tc>
          <w:tcPr>
            <w:tcW w:w="13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0.1992</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0.0409</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0.2401</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2.2647</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郑州市区</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2.8691</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0.4176</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0.6800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0.1574</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4.1241</w:t>
            </w:r>
          </w:p>
        </w:tc>
        <w:tc>
          <w:tcPr>
            <w:tcW w:w="13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2.1245</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0.6919</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2.8164</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8.4607</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航空港区</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0.2000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0.1800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0.0500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0.4800</w:t>
            </w:r>
          </w:p>
        </w:tc>
        <w:tc>
          <w:tcPr>
            <w:tcW w:w="13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0.3000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0.1500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0.4500</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1.6800</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上街区</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0.0900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0.0020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0.0040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0.0040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0.1000</w:t>
            </w:r>
          </w:p>
        </w:tc>
        <w:tc>
          <w:tcPr>
            <w:tcW w:w="13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0.0480</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0.0443</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0.0923</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0.3680</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4" w:space="0"/>
              <w:right w:val="single" w:color="auto" w:sz="4" w:space="0"/>
            </w:tcBorders>
            <w:vAlign w:val="center"/>
          </w:tcPr>
          <w:p>
            <w:pPr>
              <w:widowControl/>
              <w:jc w:val="center"/>
              <w:rPr>
                <w:rFonts w:hint="eastAsia" w:ascii="Times New Roman" w:hAnsi="Times New Roman" w:eastAsia="仿宋" w:cs="Times New Roman"/>
                <w:color w:val="000000"/>
                <w:kern w:val="0"/>
                <w:sz w:val="24"/>
                <w:lang w:val="en-US" w:eastAsia="zh-CN"/>
              </w:rPr>
            </w:pPr>
            <w:r>
              <w:rPr>
                <w:rFonts w:hint="eastAsia" w:eastAsia="仿宋" w:cs="Times New Roman"/>
                <w:color w:val="000000"/>
                <w:kern w:val="0"/>
                <w:sz w:val="24"/>
                <w:lang w:val="en-US" w:eastAsia="zh-CN"/>
              </w:rPr>
              <w:t>巩义市</w:t>
            </w:r>
          </w:p>
        </w:tc>
        <w:tc>
          <w:tcPr>
            <w:tcW w:w="14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0.1513</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0.1296</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0.0352</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0.0215</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0.3376</w:t>
            </w:r>
          </w:p>
        </w:tc>
        <w:tc>
          <w:tcPr>
            <w:tcW w:w="1311"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0.0571</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0.1106</w:t>
            </w:r>
          </w:p>
        </w:tc>
        <w:tc>
          <w:tcPr>
            <w:tcW w:w="1410"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0.1677</w:t>
            </w:r>
          </w:p>
        </w:tc>
        <w:tc>
          <w:tcPr>
            <w:tcW w:w="1410" w:type="dxa"/>
            <w:gridSpan w:val="2"/>
            <w:tcBorders>
              <w:top w:val="nil"/>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1.5465</w:t>
            </w:r>
          </w:p>
        </w:tc>
      </w:tr>
      <w:tr>
        <w:tblPrEx>
          <w:tblLayout w:type="fixed"/>
          <w:tblCellMar>
            <w:top w:w="0" w:type="dxa"/>
            <w:left w:w="108" w:type="dxa"/>
            <w:bottom w:w="0" w:type="dxa"/>
            <w:right w:w="108" w:type="dxa"/>
          </w:tblCellMar>
        </w:tblPrEx>
        <w:trPr>
          <w:gridAfter w:val="1"/>
          <w:wAfter w:w="23" w:type="dxa"/>
          <w:trHeight w:val="285" w:hRule="atLeast"/>
        </w:trPr>
        <w:tc>
          <w:tcPr>
            <w:tcW w:w="1424" w:type="dxa"/>
            <w:gridSpan w:val="2"/>
            <w:tcBorders>
              <w:top w:val="nil"/>
              <w:bottom w:val="single" w:color="auto" w:sz="12" w:space="0"/>
              <w:right w:val="single" w:color="auto" w:sz="4" w:space="0"/>
            </w:tcBorders>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合计</w:t>
            </w:r>
          </w:p>
        </w:tc>
        <w:tc>
          <w:tcPr>
            <w:tcW w:w="1411"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4.1559</w:t>
            </w:r>
          </w:p>
        </w:tc>
        <w:tc>
          <w:tcPr>
            <w:tcW w:w="1410"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0.9870</w:t>
            </w:r>
          </w:p>
        </w:tc>
        <w:tc>
          <w:tcPr>
            <w:tcW w:w="1410"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1.1412</w:t>
            </w:r>
          </w:p>
        </w:tc>
        <w:tc>
          <w:tcPr>
            <w:tcW w:w="1410"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0.3155</w:t>
            </w:r>
          </w:p>
        </w:tc>
        <w:tc>
          <w:tcPr>
            <w:tcW w:w="1410"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6.5996</w:t>
            </w:r>
          </w:p>
        </w:tc>
        <w:tc>
          <w:tcPr>
            <w:tcW w:w="1311"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3.3244</w:t>
            </w:r>
          </w:p>
        </w:tc>
        <w:tc>
          <w:tcPr>
            <w:tcW w:w="1410"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1.2837</w:t>
            </w:r>
          </w:p>
        </w:tc>
        <w:tc>
          <w:tcPr>
            <w:tcW w:w="1410" w:type="dxa"/>
            <w:gridSpan w:val="2"/>
            <w:tcBorders>
              <w:top w:val="nil"/>
              <w:left w:val="single" w:color="auto" w:sz="4" w:space="0"/>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4.6081</w:t>
            </w:r>
          </w:p>
        </w:tc>
        <w:tc>
          <w:tcPr>
            <w:tcW w:w="1410" w:type="dxa"/>
            <w:gridSpan w:val="2"/>
            <w:tcBorders>
              <w:top w:val="nil"/>
              <w:left w:val="single" w:color="auto" w:sz="4" w:space="0"/>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rPr>
            </w:pPr>
            <w:r>
              <w:rPr>
                <w:rFonts w:hint="default" w:ascii="Times New Roman" w:hAnsi="Times New Roman" w:eastAsia="仿宋" w:cs="Times New Roman"/>
                <w:i w:val="0"/>
                <w:color w:val="000000"/>
                <w:kern w:val="0"/>
                <w:sz w:val="24"/>
                <w:szCs w:val="24"/>
                <w:u w:val="none"/>
                <w:lang w:val="en-US" w:eastAsia="zh-CN" w:bidi="ar"/>
              </w:rPr>
              <w:t>20.7064</w:t>
            </w:r>
          </w:p>
        </w:tc>
      </w:tr>
    </w:tbl>
    <w:p>
      <w:pPr>
        <w:bidi w:val="0"/>
        <w:rPr>
          <w:rFonts w:hint="default"/>
        </w:rPr>
      </w:pPr>
    </w:p>
    <w:p>
      <w:pPr>
        <w:jc w:val="center"/>
        <w:rPr>
          <w:rFonts w:hint="default" w:ascii="Times New Roman" w:hAnsi="Times New Roman" w:eastAsia="仿宋" w:cs="Times New Roman"/>
          <w:sz w:val="24"/>
        </w:rPr>
        <w:sectPr>
          <w:pgSz w:w="16838" w:h="11906" w:orient="landscape"/>
          <w:pgMar w:top="1247" w:right="1418" w:bottom="1247" w:left="1418" w:header="851" w:footer="992" w:gutter="0"/>
          <w:pgBorders>
            <w:top w:val="none" w:sz="0" w:space="0"/>
            <w:left w:val="none" w:sz="0" w:space="0"/>
            <w:bottom w:val="none" w:sz="0" w:space="0"/>
            <w:right w:val="none" w:sz="0" w:space="0"/>
          </w:pgBorders>
          <w:cols w:space="425" w:num="1"/>
          <w:docGrid w:linePitch="312" w:charSpace="0"/>
        </w:sectPr>
      </w:pPr>
    </w:p>
    <w:p>
      <w:pPr>
        <w:jc w:val="center"/>
        <w:rPr>
          <w:rFonts w:hint="default" w:ascii="Times New Roman" w:hAnsi="Times New Roman" w:cs="Times New Roman"/>
          <w:bCs/>
          <w:sz w:val="28"/>
          <w:szCs w:val="28"/>
        </w:rPr>
      </w:pPr>
    </w:p>
    <w:p>
      <w:pPr>
        <w:pStyle w:val="2"/>
        <w:rPr>
          <w:rFonts w:hint="default"/>
        </w:rPr>
      </w:pPr>
    </w:p>
    <w:p>
      <w:pPr>
        <w:jc w:val="center"/>
        <w:rPr>
          <w:rFonts w:hint="default" w:ascii="Times New Roman" w:hAnsi="Times New Roman" w:cs="Times New Roman"/>
          <w:bCs/>
          <w:sz w:val="28"/>
          <w:szCs w:val="28"/>
        </w:rPr>
      </w:pPr>
      <w:r>
        <w:drawing>
          <wp:inline distT="0" distB="0" distL="114300" distR="114300">
            <wp:extent cx="5970270" cy="3714115"/>
            <wp:effectExtent l="0" t="0" r="0" b="0"/>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center"/>
        <w:rPr>
          <w:rFonts w:hint="default" w:ascii="Times New Roman" w:hAnsi="Times New Roman" w:eastAsia="黑体" w:cs="Times New Roman"/>
          <w:sz w:val="28"/>
          <w:szCs w:val="28"/>
        </w:rPr>
      </w:pPr>
      <w:r>
        <w:rPr>
          <w:rFonts w:hint="default" w:ascii="Times New Roman" w:hAnsi="Times New Roman" w:eastAsia="黑体" w:cs="Times New Roman"/>
          <w:bCs/>
          <w:sz w:val="28"/>
          <w:szCs w:val="28"/>
        </w:rPr>
        <w:t xml:space="preserve">图12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年郑州各县市用水及其结构图</w:t>
      </w:r>
    </w:p>
    <w:p>
      <w:pPr>
        <w:ind w:left="540" w:leftChars="257"/>
        <w:jc w:val="center"/>
        <w:rPr>
          <w:rFonts w:hint="default" w:ascii="Times New Roman" w:hAnsi="Times New Roman" w:cs="Times New Roman"/>
        </w:rPr>
      </w:pPr>
    </w:p>
    <w:p>
      <w:pPr>
        <w:pStyle w:val="2"/>
        <w:rPr>
          <w:rFonts w:hint="default"/>
        </w:rPr>
      </w:pPr>
    </w:p>
    <w:p>
      <w:pPr>
        <w:ind w:left="540" w:leftChars="257"/>
        <w:jc w:val="center"/>
        <w:rPr>
          <w:rFonts w:hint="default" w:ascii="Times New Roman" w:hAnsi="Times New Roman" w:cs="Times New Roman"/>
        </w:rPr>
      </w:pPr>
    </w:p>
    <w:p>
      <w:pPr>
        <w:ind w:left="540" w:leftChars="257"/>
        <w:jc w:val="center"/>
        <w:rPr>
          <w:rFonts w:hint="default" w:ascii="Times New Roman" w:hAnsi="Times New Roman" w:cs="Times New Roman"/>
        </w:rPr>
      </w:pPr>
      <w:r>
        <w:drawing>
          <wp:inline distT="0" distB="0" distL="114300" distR="114300">
            <wp:extent cx="5373370" cy="293243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pacing w:line="360" w:lineRule="auto"/>
        <w:ind w:right="480"/>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 xml:space="preserve">图13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w:t>
      </w:r>
      <w:r>
        <w:rPr>
          <w:rFonts w:hint="default" w:ascii="Times New Roman" w:hAnsi="Times New Roman" w:eastAsia="黑体" w:cs="Times New Roman"/>
          <w:bCs/>
          <w:kern w:val="0"/>
          <w:sz w:val="28"/>
          <w:szCs w:val="28"/>
        </w:rPr>
        <w:t>分项</w:t>
      </w:r>
      <w:r>
        <w:rPr>
          <w:rFonts w:hint="default" w:ascii="Times New Roman" w:hAnsi="Times New Roman" w:eastAsia="黑体" w:cs="Times New Roman"/>
          <w:bCs/>
          <w:sz w:val="28"/>
          <w:szCs w:val="28"/>
        </w:rPr>
        <w:t>用水量所占比例图</w:t>
      </w:r>
    </w:p>
    <w:p>
      <w:pPr>
        <w:jc w:val="center"/>
        <w:rPr>
          <w:rFonts w:hint="default" w:ascii="Times New Roman" w:hAnsi="Times New Roman" w:cs="Times New Roman"/>
        </w:rPr>
      </w:pPr>
    </w:p>
    <w:p>
      <w:pPr>
        <w:jc w:val="center"/>
        <w:rPr>
          <w:rFonts w:hint="default" w:ascii="Times New Roman" w:hAnsi="Times New Roman" w:cs="Times New Roman"/>
        </w:rPr>
      </w:pPr>
    </w:p>
    <w:p>
      <w:pPr>
        <w:pStyle w:val="4"/>
        <w:spacing w:before="0" w:after="0" w:line="360" w:lineRule="auto"/>
        <w:jc w:val="left"/>
        <w:rPr>
          <w:rFonts w:hint="default" w:ascii="Times New Roman" w:hAnsi="Times New Roman" w:cs="Times New Roman"/>
          <w:b w:val="0"/>
        </w:rPr>
      </w:pPr>
      <w:bookmarkStart w:id="27" w:name="_Toc3829"/>
      <w:r>
        <w:rPr>
          <w:rFonts w:hint="default" w:ascii="Times New Roman" w:hAnsi="Times New Roman" w:cs="Times New Roman"/>
          <w:b w:val="0"/>
        </w:rPr>
        <w:t>4.3 耗水量</w:t>
      </w:r>
      <w:bookmarkEnd w:id="27"/>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年度郑州市耗水总量估算为</w:t>
      </w:r>
      <w:r>
        <w:rPr>
          <w:rFonts w:hint="eastAsia" w:eastAsia="仿宋" w:cs="Times New Roman"/>
          <w:sz w:val="30"/>
          <w:szCs w:val="30"/>
          <w:lang w:val="en-US" w:eastAsia="zh-CN"/>
        </w:rPr>
        <w:t>9.2508</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，占用水量的比例为</w:t>
      </w:r>
      <w:r>
        <w:rPr>
          <w:rFonts w:hint="default" w:ascii="Times New Roman" w:hAnsi="Times New Roman" w:eastAsia="仿宋" w:cs="Times New Roman"/>
          <w:sz w:val="30"/>
          <w:szCs w:val="30"/>
          <w:lang w:val="en-US" w:eastAsia="zh-CN"/>
        </w:rPr>
        <w:t>44.</w:t>
      </w:r>
      <w:r>
        <w:rPr>
          <w:rFonts w:hint="eastAsia" w:eastAsia="仿宋" w:cs="Times New Roman"/>
          <w:sz w:val="30"/>
          <w:szCs w:val="30"/>
          <w:lang w:val="en-US" w:eastAsia="zh-CN"/>
        </w:rPr>
        <w:t>7</w:t>
      </w:r>
      <w:r>
        <w:rPr>
          <w:rFonts w:hint="default" w:ascii="Times New Roman" w:hAnsi="Times New Roman" w:eastAsia="仿宋" w:cs="Times New Roman"/>
          <w:sz w:val="30"/>
          <w:szCs w:val="30"/>
        </w:rPr>
        <w:t>%。其中农业耗水</w:t>
      </w:r>
      <w:r>
        <w:rPr>
          <w:rFonts w:hint="eastAsia" w:eastAsia="仿宋" w:cs="Times New Roman"/>
          <w:sz w:val="30"/>
          <w:szCs w:val="30"/>
          <w:lang w:val="en-US" w:eastAsia="zh-CN"/>
        </w:rPr>
        <w:t>2.9953</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，占耗水总量的</w:t>
      </w:r>
      <w:r>
        <w:rPr>
          <w:rFonts w:hint="default" w:ascii="Times New Roman" w:hAnsi="Times New Roman" w:eastAsia="仿宋" w:cs="Times New Roman"/>
          <w:sz w:val="30"/>
          <w:szCs w:val="30"/>
          <w:lang w:val="en-US" w:eastAsia="zh-CN"/>
        </w:rPr>
        <w:t>3</w:t>
      </w:r>
      <w:r>
        <w:rPr>
          <w:rFonts w:hint="eastAsia" w:eastAsia="仿宋" w:cs="Times New Roman"/>
          <w:sz w:val="30"/>
          <w:szCs w:val="30"/>
          <w:lang w:val="en-US" w:eastAsia="zh-CN"/>
        </w:rPr>
        <w:t>2.4</w:t>
      </w:r>
      <w:r>
        <w:rPr>
          <w:rFonts w:hint="default" w:ascii="Times New Roman" w:hAnsi="Times New Roman" w:eastAsia="仿宋" w:cs="Times New Roman"/>
          <w:sz w:val="30"/>
          <w:szCs w:val="30"/>
        </w:rPr>
        <w:t>%；工业耗水</w:t>
      </w:r>
      <w:r>
        <w:rPr>
          <w:rFonts w:hint="eastAsia" w:eastAsia="仿宋" w:cs="Times New Roman"/>
          <w:sz w:val="30"/>
          <w:szCs w:val="30"/>
          <w:lang w:val="en-US" w:eastAsia="zh-CN"/>
        </w:rPr>
        <w:t>1.2593</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，占总耗水量的</w:t>
      </w:r>
      <w:r>
        <w:rPr>
          <w:rFonts w:hint="eastAsia" w:eastAsia="仿宋" w:cs="Times New Roman"/>
          <w:sz w:val="30"/>
          <w:szCs w:val="30"/>
          <w:lang w:val="en-US" w:eastAsia="zh-CN"/>
        </w:rPr>
        <w:t>13.6</w:t>
      </w:r>
      <w:r>
        <w:rPr>
          <w:rFonts w:hint="default" w:ascii="Times New Roman" w:hAnsi="Times New Roman" w:eastAsia="仿宋" w:cs="Times New Roman"/>
          <w:sz w:val="30"/>
          <w:szCs w:val="30"/>
        </w:rPr>
        <w:t>%；生活耗水</w:t>
      </w:r>
      <w:r>
        <w:rPr>
          <w:rFonts w:hint="eastAsia" w:eastAsia="仿宋" w:cs="Times New Roman"/>
          <w:sz w:val="30"/>
          <w:szCs w:val="30"/>
          <w:lang w:val="en-US" w:eastAsia="zh-CN"/>
        </w:rPr>
        <w:t>2.2111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，占总耗水量的</w:t>
      </w:r>
      <w:r>
        <w:rPr>
          <w:rFonts w:hint="eastAsia" w:eastAsia="仿宋" w:cs="Times New Roman"/>
          <w:sz w:val="30"/>
          <w:szCs w:val="30"/>
          <w:lang w:val="en-US" w:eastAsia="zh-CN"/>
        </w:rPr>
        <w:t>0.34</w:t>
      </w:r>
      <w:r>
        <w:rPr>
          <w:rFonts w:hint="default" w:ascii="Times New Roman" w:hAnsi="Times New Roman" w:eastAsia="仿宋" w:cs="Times New Roman"/>
          <w:sz w:val="30"/>
          <w:szCs w:val="30"/>
        </w:rPr>
        <w:t>%；生态环境耗水</w:t>
      </w:r>
      <w:r>
        <w:rPr>
          <w:rFonts w:hint="eastAsia" w:eastAsia="仿宋" w:cs="Times New Roman"/>
          <w:sz w:val="30"/>
          <w:szCs w:val="30"/>
          <w:lang w:val="en-US" w:eastAsia="zh-CN"/>
        </w:rPr>
        <w:t>2.7851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，占总耗水量的</w:t>
      </w:r>
      <w:r>
        <w:rPr>
          <w:rFonts w:hint="eastAsia" w:eastAsia="仿宋" w:cs="Times New Roman"/>
          <w:sz w:val="30"/>
          <w:szCs w:val="30"/>
          <w:lang w:val="en-US" w:eastAsia="zh-CN"/>
        </w:rPr>
        <w:t>30.1</w:t>
      </w:r>
      <w:r>
        <w:rPr>
          <w:rFonts w:hint="default" w:ascii="Times New Roman" w:hAnsi="Times New Roman" w:eastAsia="仿宋" w:cs="Times New Roman"/>
          <w:sz w:val="30"/>
          <w:szCs w:val="30"/>
        </w:rPr>
        <w:t>%。</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在分区耗水量中，郑州市区耗水量最大，为3.</w:t>
      </w:r>
      <w:r>
        <w:rPr>
          <w:rFonts w:hint="default" w:ascii="Times New Roman" w:hAnsi="Times New Roman" w:eastAsia="仿宋" w:cs="Times New Roman"/>
          <w:sz w:val="30"/>
          <w:szCs w:val="30"/>
          <w:lang w:val="en-US" w:eastAsia="zh-CN"/>
        </w:rPr>
        <w:t>3051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，占全市总耗水量的</w:t>
      </w:r>
      <w:r>
        <w:rPr>
          <w:rFonts w:hint="eastAsia" w:eastAsia="仿宋" w:cs="Times New Roman"/>
          <w:sz w:val="30"/>
          <w:szCs w:val="30"/>
          <w:lang w:val="en-US" w:eastAsia="zh-CN"/>
        </w:rPr>
        <w:t>35.7</w:t>
      </w:r>
      <w:r>
        <w:rPr>
          <w:rFonts w:hint="default" w:ascii="Times New Roman" w:hAnsi="Times New Roman" w:eastAsia="仿宋" w:cs="Times New Roman"/>
          <w:sz w:val="30"/>
          <w:szCs w:val="30"/>
        </w:rPr>
        <w:t>%；上街区耗水量最小，为0.12</w:t>
      </w:r>
      <w:r>
        <w:rPr>
          <w:rFonts w:hint="default" w:ascii="Times New Roman" w:hAnsi="Times New Roman" w:eastAsia="仿宋" w:cs="Times New Roman"/>
          <w:sz w:val="30"/>
          <w:szCs w:val="30"/>
          <w:lang w:val="en-US" w:eastAsia="zh-CN"/>
        </w:rPr>
        <w:t>21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，占总耗水量的1.</w:t>
      </w:r>
      <w:r>
        <w:rPr>
          <w:rFonts w:hint="eastAsia" w:eastAsia="仿宋" w:cs="Times New Roman"/>
          <w:sz w:val="30"/>
          <w:szCs w:val="30"/>
          <w:lang w:val="en-US" w:eastAsia="zh-CN"/>
        </w:rPr>
        <w:t>3</w:t>
      </w:r>
      <w:r>
        <w:rPr>
          <w:rFonts w:hint="default" w:ascii="Times New Roman" w:hAnsi="Times New Roman" w:eastAsia="仿宋" w:cs="Times New Roman"/>
          <w:sz w:val="30"/>
          <w:szCs w:val="30"/>
        </w:rPr>
        <w:t>%。详见表1</w:t>
      </w:r>
      <w:r>
        <w:rPr>
          <w:rFonts w:hint="default" w:ascii="Times New Roman" w:hAnsi="Times New Roman" w:eastAsia="仿宋" w:cs="Times New Roman"/>
          <w:sz w:val="30"/>
          <w:szCs w:val="30"/>
          <w:lang w:val="en-US" w:eastAsia="zh-CN"/>
        </w:rPr>
        <w:t>3</w:t>
      </w:r>
      <w:r>
        <w:rPr>
          <w:rFonts w:hint="default" w:ascii="Times New Roman" w:hAnsi="Times New Roman" w:eastAsia="仿宋" w:cs="Times New Roman"/>
          <w:sz w:val="30"/>
          <w:szCs w:val="30"/>
        </w:rPr>
        <w:t>。</w:t>
      </w:r>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年郑州市分项用水量与耗水量对比见图14。</w:t>
      </w:r>
    </w:p>
    <w:p>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表1</w:t>
      </w:r>
      <w:r>
        <w:rPr>
          <w:rFonts w:hint="default" w:ascii="Times New Roman" w:hAnsi="Times New Roman" w:eastAsia="黑体" w:cs="Times New Roman"/>
          <w:sz w:val="28"/>
          <w:szCs w:val="28"/>
          <w:lang w:val="en-US" w:eastAsia="zh-CN"/>
        </w:rPr>
        <w:t>3</w:t>
      </w:r>
      <w:r>
        <w:rPr>
          <w:rFonts w:hint="eastAsia" w:eastAsia="黑体" w:cs="Times New Roman"/>
          <w:sz w:val="28"/>
          <w:szCs w:val="28"/>
          <w:lang w:val="en-US" w:eastAsia="zh-CN"/>
        </w:rPr>
        <w:t xml:space="preserve">  </w:t>
      </w:r>
      <w:r>
        <w:rPr>
          <w:rFonts w:hint="default" w:ascii="Times New Roman" w:hAnsi="Times New Roman" w:eastAsia="黑体" w:cs="Times New Roman"/>
          <w:sz w:val="28"/>
          <w:szCs w:val="28"/>
          <w:lang w:eastAsia="zh-CN"/>
        </w:rPr>
        <w:t>2018</w:t>
      </w:r>
      <w:r>
        <w:rPr>
          <w:rFonts w:hint="default" w:ascii="Times New Roman" w:hAnsi="Times New Roman" w:eastAsia="黑体" w:cs="Times New Roman"/>
          <w:sz w:val="28"/>
          <w:szCs w:val="28"/>
        </w:rPr>
        <w:t>年度郑州市耗水量表</w:t>
      </w:r>
    </w:p>
    <w:p>
      <w:pPr>
        <w:jc w:val="right"/>
        <w:rPr>
          <w:rFonts w:hint="default" w:ascii="Times New Roman" w:hAnsi="Times New Roman" w:eastAsia="黑体" w:cs="Times New Roman"/>
          <w:sz w:val="24"/>
        </w:rPr>
      </w:pPr>
      <w:r>
        <w:rPr>
          <w:rFonts w:hint="default" w:ascii="Times New Roman" w:hAnsi="Times New Roman" w:eastAsia="黑体" w:cs="Times New Roman"/>
          <w:kern w:val="0"/>
          <w:sz w:val="24"/>
        </w:rPr>
        <w:t>水量单位：亿m</w:t>
      </w:r>
      <w:r>
        <w:rPr>
          <w:rFonts w:hint="default" w:ascii="Times New Roman" w:hAnsi="Times New Roman" w:eastAsia="黑体" w:cs="Times New Roman"/>
          <w:kern w:val="0"/>
          <w:sz w:val="24"/>
          <w:vertAlign w:val="superscript"/>
        </w:rPr>
        <w:t>3</w:t>
      </w:r>
    </w:p>
    <w:tbl>
      <w:tblPr>
        <w:tblStyle w:val="23"/>
        <w:tblW w:w="9436" w:type="dxa"/>
        <w:tblInd w:w="91" w:type="dxa"/>
        <w:tblLayout w:type="fixed"/>
        <w:tblCellMar>
          <w:top w:w="0" w:type="dxa"/>
          <w:left w:w="108" w:type="dxa"/>
          <w:bottom w:w="0" w:type="dxa"/>
          <w:right w:w="108" w:type="dxa"/>
        </w:tblCellMar>
      </w:tblPr>
      <w:tblGrid>
        <w:gridCol w:w="1276"/>
        <w:gridCol w:w="696"/>
        <w:gridCol w:w="936"/>
        <w:gridCol w:w="696"/>
        <w:gridCol w:w="936"/>
        <w:gridCol w:w="696"/>
        <w:gridCol w:w="936"/>
        <w:gridCol w:w="696"/>
        <w:gridCol w:w="936"/>
        <w:gridCol w:w="696"/>
        <w:gridCol w:w="936"/>
      </w:tblGrid>
      <w:tr>
        <w:tblPrEx>
          <w:tblLayout w:type="fixed"/>
          <w:tblCellMar>
            <w:top w:w="0" w:type="dxa"/>
            <w:left w:w="108" w:type="dxa"/>
            <w:bottom w:w="0" w:type="dxa"/>
            <w:right w:w="108" w:type="dxa"/>
          </w:tblCellMar>
        </w:tblPrEx>
        <w:trPr>
          <w:cantSplit/>
          <w:trHeight w:val="363" w:hRule="atLeast"/>
        </w:trPr>
        <w:tc>
          <w:tcPr>
            <w:tcW w:w="1276" w:type="dxa"/>
            <w:vMerge w:val="restart"/>
            <w:tcBorders>
              <w:top w:val="single" w:color="auto" w:sz="12" w:space="0"/>
              <w:left w:val="nil"/>
              <w:bottom w:val="nil"/>
              <w:right w:val="single" w:color="auto" w:sz="4" w:space="0"/>
            </w:tcBorders>
            <w:vAlign w:val="center"/>
          </w:tcPr>
          <w:p>
            <w:pPr>
              <w:widowControl w:val="0"/>
              <w:pBdr>
                <w:top w:val="none" w:color="auto" w:sz="0" w:space="1"/>
                <w:left w:val="none" w:color="auto" w:sz="0" w:space="4"/>
                <w:bottom w:val="none" w:color="auto" w:sz="0" w:space="1"/>
                <w:right w:val="none" w:color="auto" w:sz="0" w:space="4"/>
                <w:between w:val="none" w:color="auto" w:sz="0" w:space="0"/>
              </w:pBdr>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行政分</w:t>
            </w:r>
          </w:p>
          <w:p>
            <w:pPr>
              <w:widowControl w:val="0"/>
              <w:pBdr>
                <w:top w:val="none" w:color="auto" w:sz="0" w:space="1"/>
                <w:left w:val="none" w:color="auto" w:sz="0" w:space="4"/>
                <w:bottom w:val="none" w:color="auto" w:sz="0" w:space="1"/>
                <w:right w:val="none" w:color="auto" w:sz="0" w:space="4"/>
                <w:between w:val="none" w:color="auto" w:sz="0" w:space="0"/>
              </w:pBdr>
              <w:jc w:val="center"/>
              <w:rPr>
                <w:rFonts w:hint="default" w:ascii="Times New Roman" w:hAnsi="Times New Roman" w:eastAsia="仿宋" w:cs="Times New Roman"/>
                <w:kern w:val="0"/>
                <w:sz w:val="24"/>
              </w:rPr>
            </w:pPr>
            <w:r>
              <w:rPr>
                <w:rFonts w:hint="default" w:ascii="Times New Roman" w:hAnsi="Times New Roman" w:eastAsia="仿宋" w:cs="Times New Roman"/>
                <w:color w:val="000000"/>
                <w:kern w:val="0"/>
                <w:sz w:val="24"/>
              </w:rPr>
              <w:t>区名称</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农业</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工业</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生活</w:t>
            </w:r>
          </w:p>
        </w:tc>
        <w:tc>
          <w:tcPr>
            <w:tcW w:w="163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生态环境</w:t>
            </w:r>
          </w:p>
        </w:tc>
        <w:tc>
          <w:tcPr>
            <w:tcW w:w="1632" w:type="dxa"/>
            <w:gridSpan w:val="2"/>
            <w:tcBorders>
              <w:top w:val="single" w:color="auto" w:sz="12" w:space="0"/>
              <w:left w:val="single" w:color="auto" w:sz="4" w:space="0"/>
              <w:bottom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合计</w:t>
            </w:r>
          </w:p>
        </w:tc>
      </w:tr>
      <w:tr>
        <w:tblPrEx>
          <w:tblLayout w:type="fixed"/>
          <w:tblCellMar>
            <w:top w:w="0" w:type="dxa"/>
            <w:left w:w="108" w:type="dxa"/>
            <w:bottom w:w="0" w:type="dxa"/>
            <w:right w:w="108" w:type="dxa"/>
          </w:tblCellMar>
        </w:tblPrEx>
        <w:trPr>
          <w:cantSplit/>
          <w:trHeight w:val="478" w:hRule="atLeast"/>
        </w:trPr>
        <w:tc>
          <w:tcPr>
            <w:tcW w:w="1276" w:type="dxa"/>
            <w:vMerge w:val="continue"/>
            <w:tcBorders>
              <w:top w:val="nil"/>
              <w:left w:val="nil"/>
              <w:bottom w:val="single" w:color="auto" w:sz="12" w:space="0"/>
              <w:right w:val="single" w:color="auto" w:sz="4" w:space="0"/>
              <w:tl2br w:val="single" w:color="auto" w:sz="4" w:space="0"/>
            </w:tcBorders>
            <w:vAlign w:val="center"/>
          </w:tcPr>
          <w:p>
            <w:pPr>
              <w:jc w:val="center"/>
              <w:rPr>
                <w:rFonts w:hint="default" w:ascii="Times New Roman" w:hAnsi="Times New Roman" w:eastAsia="仿宋" w:cs="Times New Roman"/>
                <w:kern w:val="0"/>
                <w:sz w:val="24"/>
              </w:rPr>
            </w:pPr>
          </w:p>
        </w:tc>
        <w:tc>
          <w:tcPr>
            <w:tcW w:w="696" w:type="dxa"/>
            <w:tcBorders>
              <w:top w:val="single" w:color="auto" w:sz="4" w:space="0"/>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耗水率</w:t>
            </w:r>
          </w:p>
        </w:tc>
        <w:tc>
          <w:tcPr>
            <w:tcW w:w="93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耗水量</w:t>
            </w:r>
          </w:p>
        </w:tc>
        <w:tc>
          <w:tcPr>
            <w:tcW w:w="696"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耗水率</w:t>
            </w:r>
          </w:p>
        </w:tc>
        <w:tc>
          <w:tcPr>
            <w:tcW w:w="936" w:type="dxa"/>
            <w:tcBorders>
              <w:top w:val="nil"/>
              <w:left w:val="nil"/>
              <w:bottom w:val="single" w:color="auto" w:sz="12"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耗水量</w:t>
            </w:r>
          </w:p>
        </w:tc>
      </w:tr>
      <w:tr>
        <w:tblPrEx>
          <w:tblLayout w:type="fixed"/>
          <w:tblCellMar>
            <w:top w:w="0" w:type="dxa"/>
            <w:left w:w="108" w:type="dxa"/>
            <w:bottom w:w="0" w:type="dxa"/>
            <w:right w:w="108" w:type="dxa"/>
          </w:tblCellMar>
        </w:tblPrEx>
        <w:trPr>
          <w:trHeight w:val="641" w:hRule="atLeast"/>
        </w:trPr>
        <w:tc>
          <w:tcPr>
            <w:tcW w:w="1276" w:type="dxa"/>
            <w:tcBorders>
              <w:top w:val="single" w:color="auto" w:sz="12"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新密市</w:t>
            </w:r>
          </w:p>
        </w:tc>
        <w:tc>
          <w:tcPr>
            <w:tcW w:w="69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0.69</w:t>
            </w:r>
          </w:p>
        </w:tc>
        <w:tc>
          <w:tcPr>
            <w:tcW w:w="93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0.1306</w:t>
            </w:r>
          </w:p>
        </w:tc>
        <w:tc>
          <w:tcPr>
            <w:tcW w:w="69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0.26</w:t>
            </w:r>
          </w:p>
        </w:tc>
        <w:tc>
          <w:tcPr>
            <w:tcW w:w="93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0.1854</w:t>
            </w:r>
          </w:p>
        </w:tc>
        <w:tc>
          <w:tcPr>
            <w:tcW w:w="69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0.41</w:t>
            </w:r>
          </w:p>
        </w:tc>
        <w:tc>
          <w:tcPr>
            <w:tcW w:w="93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0.1484</w:t>
            </w:r>
          </w:p>
        </w:tc>
        <w:tc>
          <w:tcPr>
            <w:tcW w:w="69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0.78</w:t>
            </w:r>
          </w:p>
        </w:tc>
        <w:tc>
          <w:tcPr>
            <w:tcW w:w="93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0.0803</w:t>
            </w:r>
          </w:p>
        </w:tc>
        <w:tc>
          <w:tcPr>
            <w:tcW w:w="696" w:type="dxa"/>
            <w:tcBorders>
              <w:top w:val="single" w:color="auto" w:sz="12" w:space="0"/>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0.40</w:t>
            </w:r>
          </w:p>
        </w:tc>
        <w:tc>
          <w:tcPr>
            <w:tcW w:w="936" w:type="dxa"/>
            <w:tcBorders>
              <w:top w:val="single" w:color="auto" w:sz="12" w:space="0"/>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0.5447</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新郑市</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0.67</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0.3629</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0.20</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0.0924</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0.38</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0.1354</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0.54</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0.2991</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0.46</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0.8898</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荥阳市</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0.74</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0.5060</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0.21</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0.1400</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0.36</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0.0882</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0.51</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0.0318</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0.46</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0.7660</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登封市</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0.65</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0.2349</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0.36</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0.1968</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0.42</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0.1649</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0.90</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0.1080</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0.50</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0.7046</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中牟县</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0.70</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1.2048</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0.20</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0.0220</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0.45</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0.0875</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0.57</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0.1364</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0.64</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1.4507</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郑州市区</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0.78</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0.1186</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0.20</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0.2754</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0.29</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1.2057</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0.61</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1.7054</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0.39</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3.3051</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航空港区</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0.69</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0.0756</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0.20</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0.1280</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0.41</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0.1974</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0.55</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0.2487</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0.39</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0.6497</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上街区</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0.74</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0.0042</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0.21</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0.0350</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0.36</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0.0356</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0.51</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0.0473</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0.33</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0.1221</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巩义市</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0.75</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0.3577</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0.33</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0.1843</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0.44</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0.1480</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0.76</w:t>
            </w:r>
          </w:p>
        </w:tc>
        <w:tc>
          <w:tcPr>
            <w:tcW w:w="93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0.1281</w:t>
            </w:r>
          </w:p>
        </w:tc>
        <w:tc>
          <w:tcPr>
            <w:tcW w:w="696"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0.04</w:t>
            </w:r>
          </w:p>
        </w:tc>
        <w:tc>
          <w:tcPr>
            <w:tcW w:w="936" w:type="dxa"/>
            <w:tcBorders>
              <w:top w:val="nil"/>
              <w:left w:val="nil"/>
              <w:bottom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0.8181</w:t>
            </w:r>
          </w:p>
        </w:tc>
      </w:tr>
      <w:tr>
        <w:tblPrEx>
          <w:tblLayout w:type="fixed"/>
          <w:tblCellMar>
            <w:top w:w="0" w:type="dxa"/>
            <w:left w:w="108" w:type="dxa"/>
            <w:bottom w:w="0" w:type="dxa"/>
            <w:right w:w="108" w:type="dxa"/>
          </w:tblCellMar>
        </w:tblPrEx>
        <w:trPr>
          <w:trHeight w:val="641" w:hRule="atLeast"/>
        </w:trPr>
        <w:tc>
          <w:tcPr>
            <w:tcW w:w="1276" w:type="dxa"/>
            <w:tcBorders>
              <w:top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全区</w:t>
            </w:r>
          </w:p>
        </w:tc>
        <w:tc>
          <w:tcPr>
            <w:tcW w:w="69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0.71</w:t>
            </w:r>
          </w:p>
        </w:tc>
        <w:tc>
          <w:tcPr>
            <w:tcW w:w="93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2.9953</w:t>
            </w:r>
          </w:p>
        </w:tc>
        <w:tc>
          <w:tcPr>
            <w:tcW w:w="69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0.24</w:t>
            </w:r>
          </w:p>
        </w:tc>
        <w:tc>
          <w:tcPr>
            <w:tcW w:w="93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1.2593</w:t>
            </w:r>
          </w:p>
        </w:tc>
        <w:tc>
          <w:tcPr>
            <w:tcW w:w="69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0.34</w:t>
            </w:r>
          </w:p>
        </w:tc>
        <w:tc>
          <w:tcPr>
            <w:tcW w:w="93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2.2111</w:t>
            </w:r>
          </w:p>
        </w:tc>
        <w:tc>
          <w:tcPr>
            <w:tcW w:w="69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0.60</w:t>
            </w:r>
          </w:p>
        </w:tc>
        <w:tc>
          <w:tcPr>
            <w:tcW w:w="93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2.7851</w:t>
            </w:r>
          </w:p>
        </w:tc>
        <w:tc>
          <w:tcPr>
            <w:tcW w:w="696" w:type="dxa"/>
            <w:tcBorders>
              <w:top w:val="nil"/>
              <w:left w:val="nil"/>
              <w:bottom w:val="single" w:color="auto" w:sz="12" w:space="0"/>
              <w:right w:val="single" w:color="auto" w:sz="4"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0.45</w:t>
            </w:r>
          </w:p>
        </w:tc>
        <w:tc>
          <w:tcPr>
            <w:tcW w:w="936" w:type="dxa"/>
            <w:tcBorders>
              <w:top w:val="nil"/>
              <w:left w:val="nil"/>
              <w:bottom w:val="single" w:color="auto" w:sz="12" w:space="0"/>
            </w:tcBorders>
            <w:vAlign w:val="center"/>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9.2508</w:t>
            </w:r>
          </w:p>
        </w:tc>
      </w:tr>
    </w:tbl>
    <w:p>
      <w:pPr>
        <w:spacing w:line="360" w:lineRule="auto"/>
        <w:ind w:firstLine="282" w:firstLineChars="101"/>
        <w:jc w:val="center"/>
        <w:rPr>
          <w:rFonts w:hint="default" w:ascii="Times New Roman" w:hAnsi="Times New Roman" w:cs="Times New Roman"/>
          <w:sz w:val="28"/>
          <w:szCs w:val="28"/>
        </w:rPr>
      </w:pPr>
    </w:p>
    <w:p>
      <w:pPr>
        <w:spacing w:line="360" w:lineRule="auto"/>
        <w:ind w:firstLine="282" w:firstLineChars="101"/>
        <w:jc w:val="center"/>
        <w:rPr>
          <w:rFonts w:hint="default" w:ascii="Times New Roman" w:hAnsi="Times New Roman" w:cs="Times New Roman"/>
          <w:sz w:val="28"/>
          <w:szCs w:val="28"/>
        </w:rPr>
      </w:pPr>
    </w:p>
    <w:p>
      <w:pPr>
        <w:spacing w:line="360" w:lineRule="auto"/>
        <w:ind w:firstLine="212" w:firstLineChars="101"/>
        <w:jc w:val="center"/>
        <w:rPr>
          <w:rFonts w:hint="default" w:ascii="Times New Roman" w:hAnsi="Times New Roman" w:cs="Times New Roman"/>
          <w:sz w:val="28"/>
          <w:szCs w:val="28"/>
        </w:rPr>
      </w:pPr>
      <w:r>
        <w:drawing>
          <wp:inline distT="0" distB="0" distL="114300" distR="114300">
            <wp:extent cx="4951730" cy="2830830"/>
            <wp:effectExtent l="0" t="0" r="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360" w:lineRule="auto"/>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xml:space="preserve">图14  </w:t>
      </w:r>
      <w:r>
        <w:rPr>
          <w:rFonts w:hint="default" w:ascii="Times New Roman" w:hAnsi="Times New Roman" w:eastAsia="黑体" w:cs="Times New Roman"/>
          <w:sz w:val="28"/>
          <w:szCs w:val="28"/>
          <w:lang w:eastAsia="zh-CN"/>
        </w:rPr>
        <w:t>2018</w:t>
      </w:r>
      <w:r>
        <w:rPr>
          <w:rFonts w:hint="default" w:ascii="Times New Roman" w:hAnsi="Times New Roman" w:eastAsia="黑体" w:cs="Times New Roman"/>
          <w:sz w:val="28"/>
          <w:szCs w:val="28"/>
        </w:rPr>
        <w:t>年郑州市分项用水量与耗水量对比图</w:t>
      </w:r>
    </w:p>
    <w:p>
      <w:pPr>
        <w:pStyle w:val="4"/>
        <w:spacing w:before="0" w:after="0" w:line="360" w:lineRule="auto"/>
        <w:jc w:val="left"/>
        <w:rPr>
          <w:rFonts w:hint="default" w:ascii="Times New Roman" w:hAnsi="Times New Roman" w:cs="Times New Roman"/>
          <w:b w:val="0"/>
        </w:rPr>
      </w:pPr>
      <w:bookmarkStart w:id="28" w:name="_Toc9548"/>
      <w:bookmarkStart w:id="29" w:name="_Toc486775599"/>
      <w:r>
        <w:rPr>
          <w:rFonts w:hint="default" w:ascii="Times New Roman" w:hAnsi="Times New Roman" w:cs="Times New Roman"/>
          <w:b w:val="0"/>
        </w:rPr>
        <w:t>4.4 废污水排放</w:t>
      </w:r>
      <w:bookmarkEnd w:id="28"/>
    </w:p>
    <w:p>
      <w:pPr>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年郑州市废污水排放量</w:t>
      </w:r>
      <w:r>
        <w:rPr>
          <w:rFonts w:hint="default" w:ascii="Times New Roman" w:hAnsi="Times New Roman" w:eastAsia="仿宋" w:cs="Times New Roman"/>
          <w:sz w:val="30"/>
          <w:szCs w:val="30"/>
          <w:lang w:val="en-US" w:eastAsia="zh-CN"/>
        </w:rPr>
        <w:t>估算</w:t>
      </w:r>
      <w:r>
        <w:rPr>
          <w:rFonts w:hint="default" w:ascii="Times New Roman" w:hAnsi="Times New Roman" w:eastAsia="仿宋" w:cs="Times New Roman"/>
          <w:sz w:val="30"/>
          <w:szCs w:val="30"/>
        </w:rPr>
        <w:t>为</w:t>
      </w:r>
      <w:r>
        <w:rPr>
          <w:rFonts w:hint="eastAsia" w:eastAsia="仿宋" w:cs="Times New Roman"/>
          <w:sz w:val="30"/>
          <w:szCs w:val="30"/>
          <w:lang w:val="en-US" w:eastAsia="zh-CN"/>
        </w:rPr>
        <w:t>8.3961</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，其中，生活污水排放量</w:t>
      </w:r>
      <w:r>
        <w:rPr>
          <w:rFonts w:hint="default" w:ascii="Times New Roman" w:hAnsi="Times New Roman" w:eastAsia="仿宋" w:cs="Times New Roman"/>
          <w:sz w:val="30"/>
          <w:szCs w:val="30"/>
          <w:lang w:val="en-US" w:eastAsia="zh-CN"/>
        </w:rPr>
        <w:t>4.</w:t>
      </w:r>
      <w:r>
        <w:rPr>
          <w:rFonts w:hint="eastAsia" w:eastAsia="仿宋" w:cs="Times New Roman"/>
          <w:sz w:val="30"/>
          <w:szCs w:val="30"/>
          <w:lang w:val="en-US" w:eastAsia="zh-CN"/>
        </w:rPr>
        <w:t>3885</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，占总排污量的</w:t>
      </w:r>
      <w:r>
        <w:rPr>
          <w:rFonts w:hint="eastAsia" w:eastAsia="仿宋" w:cs="Times New Roman"/>
          <w:sz w:val="30"/>
          <w:szCs w:val="30"/>
          <w:lang w:val="en-US" w:eastAsia="zh-CN"/>
        </w:rPr>
        <w:t>52.3</w:t>
      </w:r>
      <w:r>
        <w:rPr>
          <w:rFonts w:hint="default" w:ascii="Times New Roman" w:hAnsi="Times New Roman" w:eastAsia="仿宋" w:cs="Times New Roman"/>
          <w:sz w:val="30"/>
          <w:szCs w:val="30"/>
        </w:rPr>
        <w:t>%；工业污水排放量</w:t>
      </w:r>
      <w:r>
        <w:rPr>
          <w:rFonts w:hint="eastAsia" w:eastAsia="仿宋" w:cs="Times New Roman"/>
          <w:sz w:val="30"/>
          <w:szCs w:val="30"/>
          <w:lang w:val="en-US" w:eastAsia="zh-CN"/>
        </w:rPr>
        <w:t>4.0076</w:t>
      </w:r>
      <w:r>
        <w:rPr>
          <w:rFonts w:hint="default" w:ascii="Times New Roman" w:hAnsi="Times New Roman" w:eastAsia="仿宋" w:cs="Times New Roman"/>
          <w:sz w:val="30"/>
          <w:szCs w:val="30"/>
        </w:rPr>
        <w:t>亿m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，占总排污量的</w:t>
      </w:r>
      <w:r>
        <w:rPr>
          <w:rFonts w:hint="eastAsia" w:eastAsia="仿宋" w:cs="Times New Roman"/>
          <w:sz w:val="30"/>
          <w:szCs w:val="30"/>
          <w:lang w:val="en-US" w:eastAsia="zh-CN"/>
        </w:rPr>
        <w:t>47.7</w:t>
      </w:r>
      <w:r>
        <w:rPr>
          <w:rFonts w:hint="default" w:ascii="Times New Roman" w:hAnsi="Times New Roman" w:eastAsia="仿宋" w:cs="Times New Roman"/>
          <w:sz w:val="30"/>
          <w:szCs w:val="30"/>
        </w:rPr>
        <w:t>%。平均废污水排放量为</w:t>
      </w:r>
      <w:r>
        <w:rPr>
          <w:rFonts w:hint="eastAsia" w:eastAsia="仿宋" w:cs="Times New Roman"/>
          <w:sz w:val="30"/>
          <w:szCs w:val="30"/>
          <w:lang w:val="en-US" w:eastAsia="zh-CN"/>
        </w:rPr>
        <w:t>230</w:t>
      </w:r>
      <w:r>
        <w:rPr>
          <w:rFonts w:hint="default" w:ascii="Times New Roman" w:hAnsi="Times New Roman" w:eastAsia="仿宋" w:cs="Times New Roman"/>
          <w:sz w:val="30"/>
          <w:szCs w:val="30"/>
        </w:rPr>
        <w:t>万m</w:t>
      </w:r>
      <w:r>
        <w:rPr>
          <w:rFonts w:hint="default" w:ascii="Times New Roman" w:hAnsi="Times New Roman" w:eastAsia="仿宋" w:cs="Times New Roman"/>
          <w:sz w:val="30"/>
          <w:szCs w:val="30"/>
          <w:vertAlign w:val="superscript"/>
        </w:rPr>
        <w:t>3</w:t>
      </w:r>
      <w:r>
        <w:rPr>
          <w:rFonts w:hint="default" w:ascii="Times New Roman" w:hAnsi="Times New Roman" w:eastAsia="仿宋" w:cs="Times New Roman"/>
          <w:sz w:val="30"/>
          <w:szCs w:val="30"/>
        </w:rPr>
        <w:t>/d。详见表1</w:t>
      </w:r>
      <w:r>
        <w:rPr>
          <w:rFonts w:hint="default" w:ascii="Times New Roman" w:hAnsi="Times New Roman" w:eastAsia="仿宋" w:cs="Times New Roman"/>
          <w:sz w:val="30"/>
          <w:szCs w:val="30"/>
          <w:lang w:val="en-US" w:eastAsia="zh-CN"/>
        </w:rPr>
        <w:t>4</w:t>
      </w:r>
      <w:r>
        <w:rPr>
          <w:rFonts w:hint="default" w:ascii="Times New Roman" w:hAnsi="Times New Roman" w:eastAsia="仿宋" w:cs="Times New Roman"/>
          <w:sz w:val="30"/>
          <w:szCs w:val="30"/>
        </w:rPr>
        <w:t>。</w:t>
      </w:r>
    </w:p>
    <w:p>
      <w:pPr>
        <w:spacing w:line="360" w:lineRule="auto"/>
        <w:jc w:val="center"/>
        <w:rPr>
          <w:rFonts w:hint="default" w:ascii="Times New Roman" w:hAnsi="Times New Roman" w:eastAsia="仿宋" w:cs="Times New Roman"/>
          <w:sz w:val="30"/>
          <w:szCs w:val="30"/>
        </w:rPr>
      </w:pPr>
      <w:r>
        <w:rPr>
          <w:rFonts w:hint="default" w:ascii="Times New Roman" w:hAnsi="Times New Roman" w:eastAsia="黑体" w:cs="Times New Roman"/>
          <w:sz w:val="28"/>
          <w:szCs w:val="28"/>
        </w:rPr>
        <w:t>表1</w:t>
      </w:r>
      <w:r>
        <w:rPr>
          <w:rFonts w:hint="default" w:ascii="Times New Roman" w:hAnsi="Times New Roman" w:eastAsia="黑体" w:cs="Times New Roman"/>
          <w:sz w:val="28"/>
          <w:szCs w:val="28"/>
          <w:lang w:val="en-US" w:eastAsia="zh-CN"/>
        </w:rPr>
        <w:t>4</w:t>
      </w:r>
      <w:r>
        <w:rPr>
          <w:rFonts w:hint="eastAsia" w:eastAsia="黑体" w:cs="Times New Roman"/>
          <w:sz w:val="28"/>
          <w:szCs w:val="28"/>
          <w:lang w:val="en-US" w:eastAsia="zh-CN"/>
        </w:rPr>
        <w:t xml:space="preserve">  </w:t>
      </w:r>
      <w:r>
        <w:rPr>
          <w:rFonts w:hint="default" w:ascii="Times New Roman" w:hAnsi="Times New Roman" w:eastAsia="黑体" w:cs="Times New Roman"/>
          <w:sz w:val="28"/>
          <w:szCs w:val="28"/>
          <w:lang w:eastAsia="zh-CN"/>
        </w:rPr>
        <w:t>2018</w:t>
      </w:r>
      <w:r>
        <w:rPr>
          <w:rFonts w:hint="default" w:ascii="Times New Roman" w:hAnsi="Times New Roman" w:eastAsia="黑体" w:cs="Times New Roman"/>
          <w:sz w:val="28"/>
          <w:szCs w:val="28"/>
        </w:rPr>
        <w:t>年郑州市污水排放量统计表</w:t>
      </w:r>
    </w:p>
    <w:tbl>
      <w:tblPr>
        <w:tblStyle w:val="23"/>
        <w:tblW w:w="9086" w:type="dxa"/>
        <w:jc w:val="center"/>
        <w:tblInd w:w="108" w:type="dxa"/>
        <w:tblLayout w:type="fixed"/>
        <w:tblCellMar>
          <w:top w:w="0" w:type="dxa"/>
          <w:left w:w="108" w:type="dxa"/>
          <w:bottom w:w="0" w:type="dxa"/>
          <w:right w:w="108" w:type="dxa"/>
        </w:tblCellMar>
      </w:tblPr>
      <w:tblGrid>
        <w:gridCol w:w="2271"/>
        <w:gridCol w:w="2271"/>
        <w:gridCol w:w="2271"/>
        <w:gridCol w:w="2273"/>
      </w:tblGrid>
      <w:tr>
        <w:tblPrEx>
          <w:tblLayout w:type="fixed"/>
          <w:tblCellMar>
            <w:top w:w="0" w:type="dxa"/>
            <w:left w:w="108" w:type="dxa"/>
            <w:bottom w:w="0" w:type="dxa"/>
            <w:right w:w="108" w:type="dxa"/>
          </w:tblCellMar>
        </w:tblPrEx>
        <w:trPr>
          <w:trHeight w:val="398" w:hRule="atLeast"/>
          <w:jc w:val="center"/>
        </w:trPr>
        <w:tc>
          <w:tcPr>
            <w:tcW w:w="2271" w:type="dxa"/>
            <w:vMerge w:val="restart"/>
            <w:tcBorders>
              <w:top w:val="single" w:color="auto" w:sz="12" w:space="0"/>
              <w:bottom w:val="single" w:color="auto" w:sz="4" w:space="0"/>
              <w:right w:val="single" w:color="auto" w:sz="4" w:space="0"/>
            </w:tcBorders>
            <w:shd w:val="clear" w:color="auto" w:fill="auto"/>
            <w:vAlign w:val="center"/>
          </w:tcPr>
          <w:p>
            <w:pPr>
              <w:widowControl w:val="0"/>
              <w:pBdr>
                <w:top w:val="none" w:color="auto" w:sz="0" w:space="1"/>
                <w:left w:val="none" w:color="auto" w:sz="0" w:space="4"/>
                <w:bottom w:val="none" w:color="auto" w:sz="0" w:space="1"/>
                <w:right w:val="none" w:color="auto" w:sz="0" w:space="4"/>
                <w:between w:val="none" w:color="auto" w:sz="0" w:space="0"/>
              </w:pBdr>
              <w:jc w:val="center"/>
              <w:rPr>
                <w:rFonts w:hint="default" w:ascii="Times New Roman" w:hAnsi="Times New Roman" w:eastAsia="仿宋" w:cs="Times New Roman"/>
                <w:kern w:val="0"/>
                <w:sz w:val="24"/>
              </w:rPr>
            </w:pPr>
            <w:r>
              <w:rPr>
                <w:rFonts w:hint="default" w:ascii="Times New Roman" w:hAnsi="Times New Roman" w:eastAsia="仿宋" w:cs="Times New Roman"/>
                <w:color w:val="000000"/>
                <w:kern w:val="0"/>
                <w:sz w:val="24"/>
              </w:rPr>
              <w:t>行政分区名称</w:t>
            </w:r>
          </w:p>
        </w:tc>
        <w:tc>
          <w:tcPr>
            <w:tcW w:w="6815" w:type="dxa"/>
            <w:gridSpan w:val="3"/>
            <w:tcBorders>
              <w:top w:val="single" w:color="auto" w:sz="12" w:space="0"/>
              <w:left w:val="nil"/>
              <w:bottom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污水排放量（亿m</w:t>
            </w:r>
            <w:r>
              <w:rPr>
                <w:rFonts w:hint="default" w:ascii="Times New Roman" w:hAnsi="Times New Roman" w:eastAsia="仿宋" w:cs="Times New Roman"/>
                <w:kern w:val="0"/>
                <w:sz w:val="24"/>
                <w:vertAlign w:val="superscript"/>
              </w:rPr>
              <w:t>3</w:t>
            </w:r>
            <w:r>
              <w:rPr>
                <w:rFonts w:hint="default" w:ascii="Times New Roman" w:hAnsi="Times New Roman" w:eastAsia="仿宋" w:cs="Times New Roman"/>
                <w:kern w:val="0"/>
                <w:sz w:val="24"/>
              </w:rPr>
              <w:t>）</w:t>
            </w:r>
          </w:p>
        </w:tc>
      </w:tr>
      <w:tr>
        <w:tblPrEx>
          <w:tblLayout w:type="fixed"/>
          <w:tblCellMar>
            <w:top w:w="0" w:type="dxa"/>
            <w:left w:w="108" w:type="dxa"/>
            <w:bottom w:w="0" w:type="dxa"/>
            <w:right w:w="108" w:type="dxa"/>
          </w:tblCellMar>
        </w:tblPrEx>
        <w:trPr>
          <w:trHeight w:val="398" w:hRule="atLeast"/>
          <w:jc w:val="center"/>
        </w:trPr>
        <w:tc>
          <w:tcPr>
            <w:tcW w:w="2271" w:type="dxa"/>
            <w:vMerge w:val="continue"/>
            <w:tcBorders>
              <w:top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p>
        </w:tc>
        <w:tc>
          <w:tcPr>
            <w:tcW w:w="2271" w:type="dxa"/>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生活</w:t>
            </w:r>
          </w:p>
        </w:tc>
        <w:tc>
          <w:tcPr>
            <w:tcW w:w="2271" w:type="dxa"/>
            <w:tcBorders>
              <w:top w:val="nil"/>
              <w:left w:val="nil"/>
              <w:bottom w:val="single" w:color="auto" w:sz="12" w:space="0"/>
              <w:right w:val="single" w:color="auto" w:sz="4"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工业</w:t>
            </w:r>
          </w:p>
        </w:tc>
        <w:tc>
          <w:tcPr>
            <w:tcW w:w="2273" w:type="dxa"/>
            <w:tcBorders>
              <w:top w:val="nil"/>
              <w:left w:val="nil"/>
              <w:bottom w:val="single" w:color="auto" w:sz="12" w:space="0"/>
            </w:tcBorders>
            <w:shd w:val="clear" w:color="auto" w:fill="auto"/>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合计</w:t>
            </w:r>
          </w:p>
        </w:tc>
      </w:tr>
      <w:tr>
        <w:tblPrEx>
          <w:tblLayout w:type="fixed"/>
          <w:tblCellMar>
            <w:top w:w="0" w:type="dxa"/>
            <w:left w:w="108" w:type="dxa"/>
            <w:bottom w:w="0" w:type="dxa"/>
            <w:right w:w="108" w:type="dxa"/>
          </w:tblCellMar>
        </w:tblPrEx>
        <w:trPr>
          <w:trHeight w:val="398" w:hRule="atLeast"/>
          <w:jc w:val="center"/>
        </w:trPr>
        <w:tc>
          <w:tcPr>
            <w:tcW w:w="2271" w:type="dxa"/>
            <w:tcBorders>
              <w:top w:val="single" w:color="auto" w:sz="12"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新密市</w:t>
            </w:r>
          </w:p>
        </w:tc>
        <w:tc>
          <w:tcPr>
            <w:tcW w:w="2271"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0.2161</w:t>
            </w:r>
          </w:p>
        </w:tc>
        <w:tc>
          <w:tcPr>
            <w:tcW w:w="2271"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0.5360</w:t>
            </w:r>
          </w:p>
        </w:tc>
        <w:tc>
          <w:tcPr>
            <w:tcW w:w="2273" w:type="dxa"/>
            <w:tcBorders>
              <w:top w:val="single" w:color="auto" w:sz="12" w:space="0"/>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0.7521</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新郑市</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0.2254</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0.3696</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0.5950</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荥阳市</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0.1598</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0.5400</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0.6998</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登封市</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0.2241</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0.3523</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0.5764</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中牟县</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0.1081</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0.0880</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0.1961</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郑州市区</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2.9184</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1.0928</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4.0112</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航空港区</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0.2826</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0.5120</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0.7946</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上街区</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0.0644</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0.1350</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0.1994</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巩义市</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0.1896</w:t>
            </w:r>
          </w:p>
        </w:tc>
        <w:tc>
          <w:tcPr>
            <w:tcW w:w="22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0.3819</w:t>
            </w:r>
          </w:p>
        </w:tc>
        <w:tc>
          <w:tcPr>
            <w:tcW w:w="2273" w:type="dxa"/>
            <w:tcBorders>
              <w:top w:val="nil"/>
              <w:left w:val="nil"/>
              <w:bottom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0.5715</w:t>
            </w:r>
          </w:p>
        </w:tc>
      </w:tr>
      <w:tr>
        <w:tblPrEx>
          <w:tblLayout w:type="fixed"/>
          <w:tblCellMar>
            <w:top w:w="0" w:type="dxa"/>
            <w:left w:w="108" w:type="dxa"/>
            <w:bottom w:w="0" w:type="dxa"/>
            <w:right w:w="108" w:type="dxa"/>
          </w:tblCellMar>
        </w:tblPrEx>
        <w:trPr>
          <w:trHeight w:val="398" w:hRule="atLeast"/>
          <w:jc w:val="center"/>
        </w:trPr>
        <w:tc>
          <w:tcPr>
            <w:tcW w:w="2271" w:type="dxa"/>
            <w:tcBorders>
              <w:top w:val="nil"/>
              <w:bottom w:val="single" w:color="auto" w:sz="12" w:space="0"/>
              <w:right w:val="single" w:color="auto"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仿宋" w:cs="Times New Roman"/>
                <w:kern w:val="0"/>
                <w:sz w:val="24"/>
              </w:rPr>
            </w:pPr>
            <w:r>
              <w:rPr>
                <w:rFonts w:hint="default" w:ascii="Times New Roman" w:hAnsi="Times New Roman" w:eastAsia="仿宋" w:cs="Times New Roman"/>
                <w:i w:val="0"/>
                <w:color w:val="000000"/>
                <w:kern w:val="0"/>
                <w:sz w:val="24"/>
                <w:szCs w:val="24"/>
                <w:u w:val="none"/>
                <w:lang w:val="en-US" w:eastAsia="zh-CN" w:bidi="ar"/>
              </w:rPr>
              <w:t>合计</w:t>
            </w:r>
          </w:p>
        </w:tc>
        <w:tc>
          <w:tcPr>
            <w:tcW w:w="2271"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4.3885</w:t>
            </w:r>
          </w:p>
        </w:tc>
        <w:tc>
          <w:tcPr>
            <w:tcW w:w="2271" w:type="dxa"/>
            <w:tcBorders>
              <w:top w:val="nil"/>
              <w:left w:val="nil"/>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4.0076</w:t>
            </w:r>
          </w:p>
        </w:tc>
        <w:tc>
          <w:tcPr>
            <w:tcW w:w="2273" w:type="dxa"/>
            <w:tcBorders>
              <w:top w:val="nil"/>
              <w:left w:val="nil"/>
              <w:bottom w:val="single" w:color="auto"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宋体" w:hAnsi="宋体" w:eastAsia="宋体" w:cs="宋体"/>
                <w:i w:val="0"/>
                <w:color w:val="000000"/>
                <w:kern w:val="0"/>
                <w:sz w:val="24"/>
                <w:szCs w:val="24"/>
                <w:u w:val="none"/>
                <w:lang w:val="en-US" w:eastAsia="zh-CN" w:bidi="ar"/>
              </w:rPr>
              <w:t>8.3961</w:t>
            </w:r>
          </w:p>
        </w:tc>
      </w:tr>
      <w:bookmarkEnd w:id="29"/>
    </w:tbl>
    <w:p>
      <w:pPr>
        <w:spacing w:line="360" w:lineRule="auto"/>
        <w:ind w:firstLine="600" w:firstLineChars="200"/>
        <w:jc w:val="left"/>
        <w:rPr>
          <w:rFonts w:hint="default" w:ascii="Times New Roman" w:hAnsi="Times New Roman" w:eastAsia="仿宋" w:cs="Times New Roman"/>
          <w:color w:val="auto"/>
          <w:sz w:val="30"/>
          <w:szCs w:val="30"/>
        </w:rPr>
      </w:pPr>
    </w:p>
    <w:p>
      <w:pPr>
        <w:spacing w:line="360" w:lineRule="auto"/>
        <w:ind w:firstLine="600" w:firstLineChars="200"/>
        <w:jc w:val="left"/>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t>目前郑州市主城区范围内拥有现状</w:t>
      </w:r>
      <w:r>
        <w:rPr>
          <w:rFonts w:hint="default" w:ascii="Times New Roman" w:hAnsi="Times New Roman" w:eastAsia="仿宋" w:cs="Times New Roman"/>
          <w:color w:val="auto"/>
          <w:sz w:val="30"/>
          <w:szCs w:val="30"/>
          <w:lang w:val="en-US" w:eastAsia="zh-CN"/>
        </w:rPr>
        <w:t>城镇生活</w:t>
      </w:r>
      <w:r>
        <w:rPr>
          <w:rFonts w:hint="default" w:ascii="Times New Roman" w:hAnsi="Times New Roman" w:eastAsia="仿宋" w:cs="Times New Roman"/>
          <w:color w:val="auto"/>
          <w:sz w:val="30"/>
          <w:szCs w:val="30"/>
        </w:rPr>
        <w:t>污水处理厂8座，总设计处理能力2</w:t>
      </w:r>
      <w:r>
        <w:rPr>
          <w:rFonts w:hint="default"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rPr>
        <w:t>0万m</w:t>
      </w:r>
      <w:r>
        <w:rPr>
          <w:rFonts w:hint="default" w:ascii="Times New Roman" w:hAnsi="Times New Roman" w:eastAsia="仿宋" w:cs="Times New Roman"/>
          <w:color w:val="auto"/>
          <w:sz w:val="30"/>
          <w:szCs w:val="30"/>
          <w:vertAlign w:val="superscript"/>
        </w:rPr>
        <w:t>3</w:t>
      </w:r>
      <w:r>
        <w:rPr>
          <w:rFonts w:hint="default" w:ascii="Times New Roman" w:hAnsi="Times New Roman" w:eastAsia="仿宋" w:cs="Times New Roman"/>
          <w:color w:val="auto"/>
          <w:sz w:val="30"/>
          <w:szCs w:val="30"/>
        </w:rPr>
        <w:t>/</w:t>
      </w:r>
      <w:r>
        <w:rPr>
          <w:rFonts w:hint="default" w:ascii="Times New Roman" w:hAnsi="Times New Roman" w:eastAsia="仿宋" w:cs="Times New Roman"/>
          <w:color w:val="auto"/>
          <w:sz w:val="30"/>
          <w:szCs w:val="30"/>
          <w:lang w:val="en-US" w:eastAsia="zh-CN"/>
        </w:rPr>
        <w:t>d</w:t>
      </w:r>
      <w:r>
        <w:rPr>
          <w:rFonts w:hint="default" w:ascii="Times New Roman" w:hAnsi="Times New Roman" w:eastAsia="仿宋" w:cs="Times New Roman"/>
          <w:color w:val="auto"/>
          <w:sz w:val="30"/>
          <w:szCs w:val="30"/>
        </w:rPr>
        <w:t>，</w:t>
      </w:r>
      <w:r>
        <w:rPr>
          <w:rFonts w:hint="eastAsia" w:ascii="Times New Roman" w:hAnsi="Times New Roman" w:eastAsia="仿宋" w:cs="Times New Roman"/>
          <w:color w:val="auto"/>
          <w:sz w:val="30"/>
          <w:szCs w:val="30"/>
        </w:rPr>
        <w:t>处理范围覆盖城市污水、工业园区污水和工业废水等领域。</w:t>
      </w:r>
      <w:r>
        <w:rPr>
          <w:rFonts w:hint="default" w:ascii="Times New Roman" w:hAnsi="Times New Roman" w:eastAsia="仿宋" w:cs="Times New Roman"/>
          <w:color w:val="auto"/>
          <w:sz w:val="30"/>
          <w:szCs w:val="30"/>
        </w:rPr>
        <w:t>目前日均处理</w:t>
      </w:r>
      <w:r>
        <w:rPr>
          <w:rFonts w:hint="default" w:ascii="Times New Roman" w:hAnsi="Times New Roman" w:eastAsia="仿宋" w:cs="Times New Roman"/>
          <w:color w:val="auto"/>
          <w:sz w:val="30"/>
          <w:szCs w:val="30"/>
          <w:lang w:val="en-US" w:eastAsia="zh-CN"/>
        </w:rPr>
        <w:t>生活</w:t>
      </w:r>
      <w:r>
        <w:rPr>
          <w:rFonts w:hint="default" w:ascii="Times New Roman" w:hAnsi="Times New Roman" w:eastAsia="仿宋" w:cs="Times New Roman"/>
          <w:color w:val="auto"/>
          <w:sz w:val="30"/>
          <w:szCs w:val="30"/>
        </w:rPr>
        <w:t>污水约1</w:t>
      </w:r>
      <w:r>
        <w:rPr>
          <w:rFonts w:hint="default" w:ascii="Times New Roman" w:hAnsi="Times New Roman" w:eastAsia="仿宋" w:cs="Times New Roman"/>
          <w:color w:val="auto"/>
          <w:sz w:val="30"/>
          <w:szCs w:val="30"/>
          <w:lang w:val="en-US" w:eastAsia="zh-CN"/>
        </w:rPr>
        <w:t>87</w:t>
      </w:r>
      <w:r>
        <w:rPr>
          <w:rFonts w:hint="default" w:ascii="Times New Roman" w:hAnsi="Times New Roman" w:eastAsia="仿宋" w:cs="Times New Roman"/>
          <w:color w:val="auto"/>
          <w:sz w:val="30"/>
          <w:szCs w:val="30"/>
        </w:rPr>
        <w:t>万m</w:t>
      </w:r>
      <w:r>
        <w:rPr>
          <w:rFonts w:hint="default" w:ascii="Times New Roman" w:hAnsi="Times New Roman" w:eastAsia="仿宋" w:cs="Times New Roman"/>
          <w:color w:val="auto"/>
          <w:sz w:val="30"/>
          <w:szCs w:val="30"/>
          <w:vertAlign w:val="superscript"/>
        </w:rPr>
        <w:t>3</w:t>
      </w:r>
      <w:r>
        <w:rPr>
          <w:rFonts w:hint="default" w:ascii="Times New Roman" w:hAnsi="Times New Roman" w:eastAsia="仿宋" w:cs="Times New Roman"/>
          <w:color w:val="auto"/>
          <w:sz w:val="30"/>
          <w:szCs w:val="30"/>
        </w:rPr>
        <w:t>，基本实现污水全收集、全处理。</w:t>
      </w:r>
      <w:r>
        <w:rPr>
          <w:rFonts w:hint="eastAsia" w:eastAsia="仿宋" w:cs="Times New Roman"/>
          <w:color w:val="auto"/>
          <w:sz w:val="30"/>
          <w:szCs w:val="30"/>
          <w:lang w:val="en-US" w:eastAsia="zh-CN"/>
        </w:rPr>
        <w:t>中水</w:t>
      </w:r>
      <w:r>
        <w:rPr>
          <w:rFonts w:hint="default" w:ascii="Times New Roman" w:hAnsi="Times New Roman" w:eastAsia="仿宋" w:cs="Times New Roman"/>
          <w:color w:val="auto"/>
          <w:sz w:val="30"/>
          <w:szCs w:val="30"/>
        </w:rPr>
        <w:t>直接利用约25m</w:t>
      </w:r>
      <w:r>
        <w:rPr>
          <w:rFonts w:hint="default" w:ascii="Times New Roman" w:hAnsi="Times New Roman" w:eastAsia="仿宋" w:cs="Times New Roman"/>
          <w:color w:val="auto"/>
          <w:sz w:val="30"/>
          <w:szCs w:val="30"/>
          <w:vertAlign w:val="superscript"/>
        </w:rPr>
        <w:t>3</w:t>
      </w:r>
      <w:r>
        <w:rPr>
          <w:rFonts w:hint="default" w:ascii="Times New Roman" w:hAnsi="Times New Roman" w:eastAsia="仿宋" w:cs="Times New Roman"/>
          <w:color w:val="auto"/>
          <w:sz w:val="30"/>
          <w:szCs w:val="30"/>
        </w:rPr>
        <w:t>/</w:t>
      </w:r>
      <w:r>
        <w:rPr>
          <w:rFonts w:hint="default" w:ascii="Times New Roman" w:hAnsi="Times New Roman" w:eastAsia="仿宋" w:cs="Times New Roman"/>
          <w:color w:val="auto"/>
          <w:sz w:val="30"/>
          <w:szCs w:val="30"/>
          <w:lang w:val="en-US" w:eastAsia="zh-CN"/>
        </w:rPr>
        <w:t>d</w:t>
      </w:r>
      <w:r>
        <w:rPr>
          <w:rFonts w:hint="default" w:ascii="Times New Roman" w:hAnsi="Times New Roman" w:eastAsia="仿宋" w:cs="Times New Roman"/>
          <w:color w:val="auto"/>
          <w:sz w:val="30"/>
          <w:szCs w:val="30"/>
        </w:rPr>
        <w:t>，其余排水进入市区主要河道，作为生态水系的水源。</w:t>
      </w:r>
    </w:p>
    <w:p>
      <w:pPr>
        <w:pStyle w:val="4"/>
        <w:spacing w:before="0" w:after="0" w:line="360" w:lineRule="auto"/>
        <w:jc w:val="left"/>
        <w:rPr>
          <w:rFonts w:hint="default" w:ascii="Times New Roman" w:hAnsi="Times New Roman" w:cs="Times New Roman"/>
          <w:b w:val="0"/>
        </w:rPr>
      </w:pPr>
      <w:bookmarkStart w:id="30" w:name="_Toc13297"/>
      <w:r>
        <w:rPr>
          <w:rFonts w:hint="default" w:ascii="Times New Roman" w:hAnsi="Times New Roman" w:cs="Times New Roman"/>
          <w:b w:val="0"/>
        </w:rPr>
        <w:t>4.5 用水指标</w:t>
      </w:r>
      <w:bookmarkEnd w:id="30"/>
    </w:p>
    <w:p>
      <w:pPr>
        <w:spacing w:line="360" w:lineRule="auto"/>
        <w:ind w:firstLine="576" w:firstLineChars="192"/>
        <w:rPr>
          <w:rFonts w:hint="default" w:ascii="Times New Roman" w:hAnsi="Times New Roman" w:eastAsia="仿宋" w:cs="Times New Roman"/>
          <w:sz w:val="30"/>
          <w:szCs w:val="30"/>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年郑州市人均用水量为</w:t>
      </w:r>
      <w:r>
        <w:rPr>
          <w:rFonts w:hint="eastAsia" w:eastAsia="仿宋" w:cs="Times New Roman"/>
          <w:sz w:val="30"/>
          <w:szCs w:val="30"/>
          <w:lang w:val="en-US" w:eastAsia="zh-CN"/>
        </w:rPr>
        <w:t>204</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lang w:eastAsia="zh-CN"/>
        </w:rPr>
        <w:t>；</w:t>
      </w:r>
      <w:r>
        <w:rPr>
          <w:rFonts w:hint="default" w:ascii="Times New Roman" w:hAnsi="Times New Roman" w:eastAsia="仿宋" w:cs="Times New Roman"/>
          <w:sz w:val="30"/>
          <w:szCs w:val="30"/>
        </w:rPr>
        <w:t>万元GDP（当年价</w:t>
      </w:r>
      <w:r>
        <w:rPr>
          <w:rFonts w:hint="eastAsia" w:eastAsia="仿宋" w:cs="Times New Roman"/>
          <w:sz w:val="30"/>
          <w:szCs w:val="30"/>
          <w:lang w:eastAsia="zh-CN"/>
        </w:rPr>
        <w:t>）</w:t>
      </w:r>
      <w:r>
        <w:rPr>
          <w:rFonts w:hint="default" w:ascii="Times New Roman" w:hAnsi="Times New Roman" w:eastAsia="仿宋" w:cs="Times New Roman"/>
          <w:sz w:val="30"/>
          <w:szCs w:val="30"/>
        </w:rPr>
        <w:t>用水量</w:t>
      </w:r>
      <w:r>
        <w:rPr>
          <w:rFonts w:hint="eastAsia" w:eastAsia="仿宋" w:cs="Times New Roman"/>
          <w:sz w:val="30"/>
          <w:szCs w:val="30"/>
          <w:lang w:val="en-US" w:eastAsia="zh-CN"/>
        </w:rPr>
        <w:t>按用水口径</w:t>
      </w:r>
      <w:r>
        <w:rPr>
          <w:rFonts w:hint="eastAsia" w:eastAsia="仿宋" w:cs="Times New Roman"/>
          <w:b/>
          <w:bCs/>
          <w:sz w:val="30"/>
          <w:szCs w:val="30"/>
          <w:vertAlign w:val="superscript"/>
          <w:lang w:eastAsia="zh-CN"/>
        </w:rPr>
        <w:t>（</w:t>
      </w:r>
      <w:r>
        <w:rPr>
          <w:rFonts w:hint="eastAsia" w:ascii="仿宋" w:hAnsi="仿宋" w:eastAsia="仿宋" w:cs="仿宋"/>
          <w:b/>
          <w:bCs/>
          <w:sz w:val="30"/>
          <w:szCs w:val="30"/>
          <w:vertAlign w:val="superscript"/>
          <w:lang w:val="en-US" w:eastAsia="zh-CN"/>
        </w:rPr>
        <w:t>注：1</w:t>
      </w:r>
      <w:r>
        <w:rPr>
          <w:rFonts w:hint="eastAsia" w:eastAsia="仿宋" w:cs="Times New Roman"/>
          <w:b/>
          <w:bCs/>
          <w:sz w:val="30"/>
          <w:szCs w:val="30"/>
          <w:vertAlign w:val="superscript"/>
          <w:lang w:eastAsia="zh-CN"/>
        </w:rPr>
        <w:t>）</w:t>
      </w:r>
      <w:r>
        <w:rPr>
          <w:rFonts w:hint="eastAsia" w:eastAsia="仿宋" w:cs="Times New Roman"/>
          <w:sz w:val="30"/>
          <w:szCs w:val="30"/>
          <w:lang w:val="en-US" w:eastAsia="zh-CN"/>
        </w:rPr>
        <w:t>统计</w:t>
      </w:r>
      <w:r>
        <w:rPr>
          <w:rFonts w:hint="default" w:ascii="Times New Roman" w:hAnsi="Times New Roman" w:eastAsia="仿宋" w:cs="Times New Roman"/>
          <w:sz w:val="30"/>
          <w:szCs w:val="30"/>
        </w:rPr>
        <w:t>为1</w:t>
      </w:r>
      <w:r>
        <w:rPr>
          <w:rFonts w:hint="default" w:ascii="Times New Roman" w:hAnsi="Times New Roman" w:eastAsia="仿宋" w:cs="Times New Roman"/>
          <w:sz w:val="30"/>
          <w:szCs w:val="30"/>
          <w:lang w:val="en-US" w:eastAsia="zh-CN"/>
        </w:rPr>
        <w:t>0.</w:t>
      </w:r>
      <w:r>
        <w:rPr>
          <w:rFonts w:hint="eastAsia" w:eastAsia="仿宋" w:cs="Times New Roman"/>
          <w:sz w:val="30"/>
          <w:szCs w:val="30"/>
          <w:lang w:val="en-US" w:eastAsia="zh-CN"/>
        </w:rPr>
        <w:t>6</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vertAlign w:val="baseline"/>
          <w:lang w:eastAsia="zh-CN"/>
        </w:rPr>
        <w:t>，</w:t>
      </w:r>
      <w:r>
        <w:rPr>
          <w:rFonts w:hint="eastAsia" w:eastAsia="仿宋" w:cs="Times New Roman"/>
          <w:sz w:val="30"/>
          <w:szCs w:val="30"/>
          <w:vertAlign w:val="baseline"/>
          <w:lang w:val="en-US" w:eastAsia="zh-CN"/>
        </w:rPr>
        <w:t>按用水全口径</w:t>
      </w:r>
      <w:r>
        <w:rPr>
          <w:rFonts w:hint="eastAsia" w:eastAsia="仿宋" w:cs="Times New Roman"/>
          <w:b/>
          <w:bCs/>
          <w:sz w:val="30"/>
          <w:szCs w:val="30"/>
          <w:vertAlign w:val="superscript"/>
          <w:lang w:eastAsia="zh-CN"/>
        </w:rPr>
        <w:t>（</w:t>
      </w:r>
      <w:r>
        <w:rPr>
          <w:rFonts w:hint="eastAsia" w:ascii="仿宋" w:hAnsi="仿宋" w:eastAsia="仿宋" w:cs="仿宋"/>
          <w:b/>
          <w:bCs/>
          <w:sz w:val="30"/>
          <w:szCs w:val="30"/>
          <w:vertAlign w:val="superscript"/>
          <w:lang w:val="en-US" w:eastAsia="zh-CN"/>
        </w:rPr>
        <w:t>注：2</w:t>
      </w:r>
      <w:r>
        <w:rPr>
          <w:rFonts w:hint="eastAsia" w:eastAsia="仿宋" w:cs="Times New Roman"/>
          <w:b/>
          <w:bCs/>
          <w:sz w:val="30"/>
          <w:szCs w:val="30"/>
          <w:vertAlign w:val="superscript"/>
          <w:lang w:eastAsia="zh-CN"/>
        </w:rPr>
        <w:t>）</w:t>
      </w:r>
      <w:r>
        <w:rPr>
          <w:rFonts w:hint="eastAsia" w:eastAsia="仿宋" w:cs="Times New Roman"/>
          <w:sz w:val="30"/>
          <w:szCs w:val="30"/>
          <w:vertAlign w:val="baseline"/>
          <w:lang w:val="en-US" w:eastAsia="zh-CN"/>
        </w:rPr>
        <w:t>统计为</w:t>
      </w:r>
      <w:r>
        <w:rPr>
          <w:rFonts w:hint="eastAsia" w:eastAsia="仿宋" w:cs="Times New Roman"/>
          <w:sz w:val="30"/>
          <w:szCs w:val="30"/>
          <w:lang w:val="en-US" w:eastAsia="zh-CN"/>
        </w:rPr>
        <w:t>20.4</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lang w:eastAsia="zh-CN"/>
        </w:rPr>
        <w:t>；</w:t>
      </w:r>
      <w:r>
        <w:rPr>
          <w:rFonts w:hint="default" w:ascii="Times New Roman" w:hAnsi="Times New Roman" w:eastAsia="仿宋" w:cs="Times New Roman"/>
          <w:sz w:val="30"/>
          <w:szCs w:val="30"/>
        </w:rPr>
        <w:t>万元工业增加值（当年价）用水量</w:t>
      </w:r>
      <w:r>
        <w:rPr>
          <w:rFonts w:hint="default" w:ascii="Times New Roman" w:hAnsi="Times New Roman" w:eastAsia="仿宋" w:cs="Times New Roman"/>
          <w:sz w:val="30"/>
          <w:szCs w:val="30"/>
          <w:lang w:val="en-US" w:eastAsia="zh-CN"/>
        </w:rPr>
        <w:t>14.</w:t>
      </w:r>
      <w:r>
        <w:rPr>
          <w:rFonts w:hint="eastAsia" w:eastAsia="仿宋" w:cs="Times New Roman"/>
          <w:sz w:val="30"/>
          <w:szCs w:val="30"/>
          <w:lang w:val="en-US" w:eastAsia="zh-CN"/>
        </w:rPr>
        <w:t>1</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lang w:eastAsia="zh-CN"/>
        </w:rPr>
        <w:t>（</w:t>
      </w:r>
      <w:r>
        <w:rPr>
          <w:rFonts w:hint="eastAsia" w:eastAsia="仿宋" w:cs="Times New Roman"/>
          <w:sz w:val="30"/>
          <w:szCs w:val="30"/>
          <w:lang w:val="en-US" w:eastAsia="zh-CN"/>
        </w:rPr>
        <w:t>含火电</w:t>
      </w:r>
      <w:r>
        <w:rPr>
          <w:rFonts w:hint="eastAsia" w:eastAsia="仿宋" w:cs="Times New Roman"/>
          <w:sz w:val="30"/>
          <w:szCs w:val="30"/>
          <w:lang w:eastAsia="zh-CN"/>
        </w:rPr>
        <w:t>）；</w:t>
      </w:r>
      <w:r>
        <w:rPr>
          <w:rFonts w:hint="default" w:ascii="Times New Roman" w:hAnsi="Times New Roman" w:eastAsia="仿宋" w:cs="Times New Roman"/>
          <w:sz w:val="30"/>
          <w:szCs w:val="30"/>
        </w:rPr>
        <w:t>农田灌溉亩均用水量</w:t>
      </w:r>
      <w:r>
        <w:rPr>
          <w:rFonts w:hint="eastAsia" w:eastAsia="仿宋" w:cs="Times New Roman"/>
          <w:sz w:val="30"/>
          <w:szCs w:val="30"/>
          <w:lang w:val="en-US" w:eastAsia="zh-CN"/>
        </w:rPr>
        <w:t>44</w:t>
      </w:r>
      <w:r>
        <w:rPr>
          <w:rFonts w:hint="default" w:ascii="Times New Roman" w:hAnsi="Times New Roman" w:eastAsia="仿宋" w:cs="Times New Roman"/>
          <w:sz w:val="30"/>
          <w:szCs w:val="30"/>
        </w:rPr>
        <w:t>m</w:t>
      </w:r>
      <w:r>
        <w:rPr>
          <w:rFonts w:hint="default" w:ascii="Times New Roman" w:hAnsi="Times New Roman" w:eastAsia="仿宋" w:cs="Times New Roman"/>
          <w:sz w:val="30"/>
          <w:szCs w:val="30"/>
          <w:vertAlign w:val="superscript"/>
        </w:rPr>
        <w:t>3</w:t>
      </w:r>
      <w:r>
        <w:rPr>
          <w:rFonts w:hint="eastAsia" w:eastAsia="仿宋" w:cs="Times New Roman"/>
          <w:sz w:val="30"/>
          <w:szCs w:val="30"/>
          <w:lang w:eastAsia="zh-CN"/>
        </w:rPr>
        <w:t>；</w:t>
      </w:r>
      <w:r>
        <w:rPr>
          <w:rFonts w:hint="default" w:ascii="Times New Roman" w:hAnsi="Times New Roman" w:eastAsia="仿宋" w:cs="Times New Roman"/>
          <w:sz w:val="30"/>
          <w:szCs w:val="30"/>
        </w:rPr>
        <w:t>城镇</w:t>
      </w:r>
      <w:r>
        <w:rPr>
          <w:rFonts w:hint="eastAsia" w:eastAsia="仿宋" w:cs="Times New Roman"/>
          <w:sz w:val="30"/>
          <w:szCs w:val="30"/>
          <w:lang w:val="en-US" w:eastAsia="zh-CN"/>
        </w:rPr>
        <w:t>综合生活</w:t>
      </w:r>
      <w:r>
        <w:rPr>
          <w:rFonts w:hint="default" w:ascii="Times New Roman" w:hAnsi="Times New Roman" w:eastAsia="仿宋" w:cs="Times New Roman"/>
          <w:b/>
          <w:bCs/>
          <w:sz w:val="30"/>
          <w:szCs w:val="30"/>
          <w:vertAlign w:val="superscript"/>
        </w:rPr>
        <w:t>（</w:t>
      </w:r>
      <w:r>
        <w:rPr>
          <w:rFonts w:hint="eastAsia" w:ascii="仿宋" w:hAnsi="仿宋" w:eastAsia="仿宋" w:cs="仿宋"/>
          <w:b/>
          <w:bCs/>
          <w:sz w:val="30"/>
          <w:szCs w:val="30"/>
          <w:vertAlign w:val="superscript"/>
          <w:lang w:val="en-US" w:eastAsia="zh-CN"/>
        </w:rPr>
        <w:t>注：3</w:t>
      </w:r>
      <w:r>
        <w:rPr>
          <w:rFonts w:hint="default" w:ascii="Times New Roman" w:hAnsi="Times New Roman" w:eastAsia="仿宋" w:cs="Times New Roman"/>
          <w:b/>
          <w:bCs/>
          <w:sz w:val="30"/>
          <w:szCs w:val="30"/>
          <w:vertAlign w:val="superscript"/>
        </w:rPr>
        <w:t>）</w:t>
      </w:r>
      <w:r>
        <w:rPr>
          <w:rFonts w:hint="eastAsia" w:eastAsia="仿宋" w:cs="Times New Roman"/>
          <w:sz w:val="30"/>
          <w:szCs w:val="30"/>
          <w:lang w:val="en-US" w:eastAsia="zh-CN"/>
        </w:rPr>
        <w:t>人均用水207</w:t>
      </w:r>
      <w:r>
        <w:rPr>
          <w:rFonts w:hint="default" w:ascii="Times New Roman" w:hAnsi="Times New Roman" w:eastAsia="仿宋" w:cs="Times New Roman"/>
          <w:sz w:val="30"/>
          <w:szCs w:val="30"/>
        </w:rPr>
        <w:t>L/d</w:t>
      </w:r>
      <w:r>
        <w:rPr>
          <w:rFonts w:hint="eastAsia" w:eastAsia="仿宋" w:cs="Times New Roman"/>
          <w:sz w:val="30"/>
          <w:szCs w:val="30"/>
          <w:lang w:eastAsia="zh-CN"/>
        </w:rPr>
        <w:t>；</w:t>
      </w:r>
      <w:r>
        <w:rPr>
          <w:rFonts w:hint="default" w:ascii="Times New Roman" w:hAnsi="Times New Roman" w:eastAsia="仿宋" w:cs="Times New Roman"/>
          <w:sz w:val="30"/>
          <w:szCs w:val="30"/>
        </w:rPr>
        <w:t>农村</w:t>
      </w:r>
      <w:r>
        <w:rPr>
          <w:rFonts w:hint="eastAsia" w:eastAsia="仿宋" w:cs="Times New Roman"/>
          <w:sz w:val="30"/>
          <w:szCs w:val="30"/>
          <w:lang w:val="en-US" w:eastAsia="zh-CN"/>
        </w:rPr>
        <w:t>居民</w:t>
      </w:r>
      <w:r>
        <w:rPr>
          <w:rFonts w:hint="default" w:ascii="Times New Roman" w:hAnsi="Times New Roman" w:eastAsia="仿宋" w:cs="Times New Roman"/>
          <w:sz w:val="30"/>
          <w:szCs w:val="30"/>
        </w:rPr>
        <w:t>生活人均</w:t>
      </w:r>
      <w:r>
        <w:rPr>
          <w:rFonts w:hint="eastAsia" w:eastAsia="仿宋" w:cs="Times New Roman"/>
          <w:sz w:val="30"/>
          <w:szCs w:val="30"/>
          <w:lang w:val="en-US" w:eastAsia="zh-CN"/>
        </w:rPr>
        <w:t>100</w:t>
      </w:r>
      <w:r>
        <w:rPr>
          <w:rFonts w:hint="default" w:ascii="Times New Roman" w:hAnsi="Times New Roman" w:eastAsia="仿宋" w:cs="Times New Roman"/>
          <w:sz w:val="30"/>
          <w:szCs w:val="30"/>
        </w:rPr>
        <w:t>L/d。详见表1</w:t>
      </w:r>
      <w:r>
        <w:rPr>
          <w:rFonts w:hint="default" w:ascii="Times New Roman" w:hAnsi="Times New Roman" w:eastAsia="仿宋" w:cs="Times New Roman"/>
          <w:sz w:val="30"/>
          <w:szCs w:val="30"/>
          <w:lang w:val="en-US" w:eastAsia="zh-CN"/>
        </w:rPr>
        <w:t>5</w:t>
      </w:r>
      <w:r>
        <w:rPr>
          <w:rFonts w:hint="default" w:ascii="Times New Roman" w:hAnsi="Times New Roman" w:eastAsia="仿宋" w:cs="Times New Roman"/>
          <w:sz w:val="30"/>
          <w:szCs w:val="30"/>
        </w:rPr>
        <w:t>。</w:t>
      </w:r>
    </w:p>
    <w:p>
      <w:pPr>
        <w:spacing w:line="360" w:lineRule="auto"/>
        <w:ind w:firstLine="578" w:firstLineChars="192"/>
        <w:rPr>
          <w:rFonts w:hint="default" w:ascii="Times New Roman" w:hAnsi="Times New Roman" w:eastAsia="仿宋" w:cs="Times New Roman"/>
          <w:b/>
          <w:sz w:val="30"/>
          <w:szCs w:val="30"/>
        </w:rPr>
      </w:pP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年郑州市万元GDP用水量按2015年不变价折算后为11.</w:t>
      </w:r>
      <w:r>
        <w:rPr>
          <w:rFonts w:hint="default" w:ascii="Times New Roman" w:hAnsi="Times New Roman" w:eastAsia="仿宋" w:cs="Times New Roman"/>
          <w:b/>
          <w:sz w:val="30"/>
          <w:szCs w:val="30"/>
          <w:lang w:val="en-US" w:eastAsia="zh-CN"/>
        </w:rPr>
        <w:t>1</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eastAsia" w:eastAsia="仿宋" w:cs="Times New Roman"/>
          <w:b/>
          <w:sz w:val="30"/>
          <w:szCs w:val="30"/>
          <w:lang w:eastAsia="zh-CN"/>
        </w:rPr>
        <w:t>（</w:t>
      </w:r>
      <w:r>
        <w:rPr>
          <w:rFonts w:hint="eastAsia" w:eastAsia="仿宋" w:cs="Times New Roman"/>
          <w:b/>
          <w:sz w:val="30"/>
          <w:szCs w:val="30"/>
          <w:lang w:val="en-US" w:eastAsia="zh-CN"/>
        </w:rPr>
        <w:t>用水口径</w:t>
      </w:r>
      <w:r>
        <w:rPr>
          <w:rFonts w:hint="eastAsia" w:eastAsia="仿宋" w:cs="Times New Roman"/>
          <w:b/>
          <w:sz w:val="30"/>
          <w:szCs w:val="30"/>
          <w:lang w:eastAsia="zh-CN"/>
        </w:rPr>
        <w:t>）</w:t>
      </w:r>
      <w:r>
        <w:rPr>
          <w:rFonts w:hint="default" w:ascii="Times New Roman" w:hAnsi="Times New Roman" w:eastAsia="仿宋" w:cs="Times New Roman"/>
          <w:b/>
          <w:sz w:val="30"/>
          <w:szCs w:val="30"/>
        </w:rPr>
        <w:t>达到河南省</w:t>
      </w: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年度最严格水资源管理控制目标中万元GDP用水量1</w:t>
      </w:r>
      <w:r>
        <w:rPr>
          <w:rFonts w:hint="default" w:ascii="Times New Roman" w:hAnsi="Times New Roman" w:eastAsia="仿宋" w:cs="Times New Roman"/>
          <w:b/>
          <w:sz w:val="30"/>
          <w:szCs w:val="30"/>
          <w:lang w:val="en-US" w:eastAsia="zh-CN"/>
        </w:rPr>
        <w:t>3.6</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目标要求。</w:t>
      </w:r>
    </w:p>
    <w:p>
      <w:pPr>
        <w:spacing w:line="360" w:lineRule="auto"/>
        <w:ind w:firstLine="578" w:firstLineChars="192"/>
        <w:rPr>
          <w:rFonts w:hint="default" w:ascii="Times New Roman" w:hAnsi="Times New Roman" w:eastAsia="仿宋" w:cs="Times New Roman"/>
          <w:b/>
          <w:sz w:val="30"/>
          <w:szCs w:val="30"/>
        </w:rPr>
      </w:pP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年郑州市万元工业增加值用水量按2015年不变价折算后为1</w:t>
      </w:r>
      <w:r>
        <w:rPr>
          <w:rFonts w:hint="default" w:ascii="Times New Roman" w:hAnsi="Times New Roman" w:eastAsia="仿宋" w:cs="Times New Roman"/>
          <w:b/>
          <w:sz w:val="30"/>
          <w:szCs w:val="30"/>
          <w:lang w:val="en-US" w:eastAsia="zh-CN"/>
        </w:rPr>
        <w:t>2.0</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，达到河南省</w:t>
      </w:r>
      <w:r>
        <w:rPr>
          <w:rFonts w:hint="default" w:ascii="Times New Roman" w:hAnsi="Times New Roman" w:eastAsia="仿宋" w:cs="Times New Roman"/>
          <w:b/>
          <w:sz w:val="30"/>
          <w:szCs w:val="30"/>
          <w:lang w:eastAsia="zh-CN"/>
        </w:rPr>
        <w:t>2018</w:t>
      </w:r>
      <w:r>
        <w:rPr>
          <w:rFonts w:hint="default" w:ascii="Times New Roman" w:hAnsi="Times New Roman" w:eastAsia="仿宋" w:cs="Times New Roman"/>
          <w:b/>
          <w:sz w:val="30"/>
          <w:szCs w:val="30"/>
        </w:rPr>
        <w:t>年度最严格水资源管理控制目标中万元工业增加值用水量</w:t>
      </w:r>
      <w:r>
        <w:rPr>
          <w:rFonts w:hint="default" w:ascii="Times New Roman" w:hAnsi="Times New Roman" w:eastAsia="仿宋" w:cs="Times New Roman"/>
          <w:b/>
          <w:sz w:val="30"/>
          <w:szCs w:val="30"/>
          <w:lang w:val="en-US" w:eastAsia="zh-CN"/>
        </w:rPr>
        <w:t>14.9</w:t>
      </w:r>
      <w:r>
        <w:rPr>
          <w:rFonts w:hint="default" w:ascii="Times New Roman" w:hAnsi="Times New Roman" w:eastAsia="仿宋" w:cs="Times New Roman"/>
          <w:b/>
          <w:sz w:val="30"/>
          <w:szCs w:val="30"/>
        </w:rPr>
        <w:t>m</w:t>
      </w:r>
      <w:r>
        <w:rPr>
          <w:rFonts w:hint="default" w:ascii="Times New Roman" w:hAnsi="Times New Roman" w:eastAsia="仿宋" w:cs="Times New Roman"/>
          <w:b/>
          <w:sz w:val="30"/>
          <w:szCs w:val="30"/>
          <w:vertAlign w:val="superscript"/>
        </w:rPr>
        <w:t>3</w:t>
      </w:r>
      <w:r>
        <w:rPr>
          <w:rFonts w:hint="default" w:ascii="Times New Roman" w:hAnsi="Times New Roman" w:eastAsia="仿宋" w:cs="Times New Roman"/>
          <w:b/>
          <w:sz w:val="30"/>
          <w:szCs w:val="30"/>
        </w:rPr>
        <w:t>目标要求。</w:t>
      </w:r>
    </w:p>
    <w:p>
      <w:pPr>
        <w:spacing w:line="360" w:lineRule="auto"/>
        <w:ind w:firstLine="578" w:firstLineChars="192"/>
        <w:rPr>
          <w:rFonts w:hint="default" w:ascii="Times New Roman" w:hAnsi="Times New Roman" w:eastAsia="仿宋" w:cs="Times New Roman"/>
          <w:b/>
          <w:sz w:val="30"/>
          <w:szCs w:val="30"/>
        </w:rPr>
      </w:pPr>
    </w:p>
    <w:p>
      <w:pPr>
        <w:rPr>
          <w:rFonts w:hint="default" w:ascii="Times New Roman" w:hAnsi="Times New Roman" w:cs="Times New Roman"/>
        </w:rPr>
        <w:sectPr>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spacing w:line="360" w:lineRule="auto"/>
        <w:jc w:val="center"/>
        <w:rPr>
          <w:rFonts w:hint="default" w:ascii="Times New Roman" w:hAnsi="Times New Roman" w:eastAsia="黑体" w:cs="Times New Roman"/>
          <w:bCs/>
          <w:sz w:val="28"/>
          <w:szCs w:val="28"/>
        </w:rPr>
      </w:pPr>
    </w:p>
    <w:p>
      <w:pPr>
        <w:pStyle w:val="2"/>
        <w:rPr>
          <w:rFonts w:hint="default"/>
        </w:rPr>
      </w:pPr>
    </w:p>
    <w:p>
      <w:pPr>
        <w:spacing w:line="360" w:lineRule="auto"/>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表1</w:t>
      </w:r>
      <w:r>
        <w:rPr>
          <w:rFonts w:hint="default" w:ascii="Times New Roman" w:hAnsi="Times New Roman" w:eastAsia="黑体" w:cs="Times New Roman"/>
          <w:bCs/>
          <w:sz w:val="28"/>
          <w:szCs w:val="28"/>
          <w:lang w:val="en-US" w:eastAsia="zh-CN"/>
        </w:rPr>
        <w:t>5</w:t>
      </w:r>
      <w:r>
        <w:rPr>
          <w:rFonts w:hint="eastAsia" w:eastAsia="黑体" w:cs="Times New Roman"/>
          <w:bCs/>
          <w:sz w:val="28"/>
          <w:szCs w:val="28"/>
          <w:lang w:val="en-US" w:eastAsia="zh-CN"/>
        </w:rPr>
        <w:t xml:space="preserve">  </w:t>
      </w:r>
      <w:r>
        <w:rPr>
          <w:rFonts w:hint="default" w:ascii="Times New Roman" w:hAnsi="Times New Roman" w:eastAsia="黑体" w:cs="Times New Roman"/>
          <w:bCs/>
          <w:sz w:val="28"/>
          <w:szCs w:val="28"/>
          <w:lang w:eastAsia="zh-CN"/>
        </w:rPr>
        <w:t>2018</w:t>
      </w:r>
      <w:r>
        <w:rPr>
          <w:rFonts w:hint="default" w:ascii="Times New Roman" w:hAnsi="Times New Roman" w:eastAsia="黑体" w:cs="Times New Roman"/>
          <w:bCs/>
          <w:sz w:val="28"/>
          <w:szCs w:val="28"/>
        </w:rPr>
        <w:t>年郑州市社会经济指标及用水指标分析表</w:t>
      </w:r>
    </w:p>
    <w:tbl>
      <w:tblPr>
        <w:tblStyle w:val="23"/>
        <w:tblW w:w="13880" w:type="dxa"/>
        <w:jc w:val="center"/>
        <w:tblInd w:w="103" w:type="dxa"/>
        <w:tblLayout w:type="fixed"/>
        <w:tblCellMar>
          <w:top w:w="0" w:type="dxa"/>
          <w:left w:w="108" w:type="dxa"/>
          <w:bottom w:w="0" w:type="dxa"/>
          <w:right w:w="108" w:type="dxa"/>
        </w:tblCellMar>
      </w:tblPr>
      <w:tblGrid>
        <w:gridCol w:w="1839"/>
        <w:gridCol w:w="1783"/>
        <w:gridCol w:w="1679"/>
        <w:gridCol w:w="1566"/>
        <w:gridCol w:w="2213"/>
        <w:gridCol w:w="1375"/>
        <w:gridCol w:w="1624"/>
        <w:gridCol w:w="1801"/>
      </w:tblGrid>
      <w:tr>
        <w:tblPrEx>
          <w:tblLayout w:type="fixed"/>
          <w:tblCellMar>
            <w:top w:w="0" w:type="dxa"/>
            <w:left w:w="108" w:type="dxa"/>
            <w:bottom w:w="0" w:type="dxa"/>
            <w:right w:w="108" w:type="dxa"/>
          </w:tblCellMar>
        </w:tblPrEx>
        <w:trPr>
          <w:trHeight w:val="761" w:hRule="atLeast"/>
          <w:jc w:val="center"/>
        </w:trPr>
        <w:tc>
          <w:tcPr>
            <w:tcW w:w="1839" w:type="dxa"/>
            <w:vMerge w:val="restart"/>
            <w:tcBorders>
              <w:top w:val="single" w:color="auto" w:sz="12"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color w:val="000000"/>
                <w:kern w:val="0"/>
                <w:sz w:val="24"/>
              </w:rPr>
              <w:t>行政分区名称</w:t>
            </w:r>
          </w:p>
        </w:tc>
        <w:tc>
          <w:tcPr>
            <w:tcW w:w="1783" w:type="dxa"/>
            <w:vMerge w:val="restart"/>
            <w:tcBorders>
              <w:top w:val="single" w:color="auto" w:sz="12" w:space="0"/>
              <w:left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人均用水量</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（m</w:t>
            </w:r>
            <w:r>
              <w:rPr>
                <w:rFonts w:hint="default" w:ascii="Times New Roman" w:hAnsi="Times New Roman" w:eastAsia="仿宋" w:cs="Times New Roman"/>
                <w:kern w:val="0"/>
                <w:sz w:val="24"/>
                <w:vertAlign w:val="superscript"/>
              </w:rPr>
              <w:t>3</w:t>
            </w:r>
            <w:r>
              <w:rPr>
                <w:rFonts w:hint="default" w:ascii="Times New Roman" w:hAnsi="Times New Roman" w:eastAsia="仿宋" w:cs="Times New Roman"/>
                <w:kern w:val="0"/>
                <w:sz w:val="24"/>
              </w:rPr>
              <w:t>/人）</w:t>
            </w:r>
          </w:p>
        </w:tc>
        <w:tc>
          <w:tcPr>
            <w:tcW w:w="3245" w:type="dxa"/>
            <w:gridSpan w:val="2"/>
            <w:tcBorders>
              <w:top w:val="single" w:color="auto" w:sz="12" w:space="0"/>
              <w:left w:val="single" w:color="auto" w:sz="4" w:space="0"/>
              <w:bottom w:val="single" w:color="auto" w:sz="6"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万元GDP用水量(m</w:t>
            </w:r>
            <w:r>
              <w:rPr>
                <w:rFonts w:hint="default" w:ascii="Times New Roman" w:hAnsi="Times New Roman" w:eastAsia="仿宋" w:cs="Times New Roman"/>
                <w:kern w:val="0"/>
                <w:sz w:val="24"/>
                <w:vertAlign w:val="superscript"/>
              </w:rPr>
              <w:t>3</w:t>
            </w:r>
            <w:r>
              <w:rPr>
                <w:rFonts w:hint="default" w:ascii="Times New Roman" w:hAnsi="Times New Roman" w:eastAsia="仿宋" w:cs="Times New Roman"/>
                <w:kern w:val="0"/>
                <w:sz w:val="24"/>
              </w:rPr>
              <w:t>)</w:t>
            </w:r>
          </w:p>
        </w:tc>
        <w:tc>
          <w:tcPr>
            <w:tcW w:w="2213" w:type="dxa"/>
            <w:vMerge w:val="restart"/>
            <w:tcBorders>
              <w:top w:val="single" w:color="auto" w:sz="12"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规模以上万元工业增加值用水量</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(m</w:t>
            </w:r>
            <w:r>
              <w:rPr>
                <w:rFonts w:hint="default" w:ascii="Times New Roman" w:hAnsi="Times New Roman" w:eastAsia="仿宋" w:cs="Times New Roman"/>
                <w:kern w:val="0"/>
                <w:sz w:val="24"/>
                <w:vertAlign w:val="superscript"/>
              </w:rPr>
              <w:t>3</w:t>
            </w:r>
            <w:r>
              <w:rPr>
                <w:rFonts w:hint="default" w:ascii="Times New Roman" w:hAnsi="Times New Roman" w:eastAsia="仿宋" w:cs="Times New Roman"/>
                <w:kern w:val="0"/>
                <w:sz w:val="24"/>
              </w:rPr>
              <w:t>)</w:t>
            </w:r>
          </w:p>
        </w:tc>
        <w:tc>
          <w:tcPr>
            <w:tcW w:w="2999" w:type="dxa"/>
            <w:gridSpan w:val="2"/>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人均综合用水量(L/d)</w:t>
            </w:r>
          </w:p>
        </w:tc>
        <w:tc>
          <w:tcPr>
            <w:tcW w:w="1801" w:type="dxa"/>
            <w:vMerge w:val="restart"/>
            <w:tcBorders>
              <w:top w:val="single" w:color="auto" w:sz="12" w:space="0"/>
              <w:left w:val="single" w:color="auto" w:sz="4" w:space="0"/>
              <w:bottom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农田灌溉</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亩均用水量</w:t>
            </w:r>
          </w:p>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(m</w:t>
            </w:r>
            <w:r>
              <w:rPr>
                <w:rFonts w:hint="default" w:ascii="Times New Roman" w:hAnsi="Times New Roman" w:eastAsia="仿宋" w:cs="Times New Roman"/>
                <w:kern w:val="0"/>
                <w:sz w:val="24"/>
                <w:vertAlign w:val="superscript"/>
              </w:rPr>
              <w:t>3</w:t>
            </w:r>
            <w:r>
              <w:rPr>
                <w:rFonts w:hint="default" w:ascii="Times New Roman" w:hAnsi="Times New Roman" w:eastAsia="仿宋" w:cs="Times New Roman"/>
                <w:kern w:val="0"/>
                <w:sz w:val="24"/>
              </w:rPr>
              <w:t>)</w:t>
            </w:r>
          </w:p>
        </w:tc>
      </w:tr>
      <w:tr>
        <w:tblPrEx>
          <w:tblLayout w:type="fixed"/>
          <w:tblCellMar>
            <w:top w:w="0" w:type="dxa"/>
            <w:left w:w="108" w:type="dxa"/>
            <w:bottom w:w="0" w:type="dxa"/>
            <w:right w:w="108" w:type="dxa"/>
          </w:tblCellMar>
        </w:tblPrEx>
        <w:trPr>
          <w:trHeight w:val="321" w:hRule="atLeast"/>
          <w:jc w:val="center"/>
        </w:trPr>
        <w:tc>
          <w:tcPr>
            <w:tcW w:w="1839" w:type="dxa"/>
            <w:vMerge w:val="continue"/>
            <w:tcBorders>
              <w:top w:val="single" w:color="auto" w:sz="4" w:space="0"/>
              <w:bottom w:val="single" w:color="auto" w:sz="6" w:space="0"/>
              <w:right w:val="single" w:color="auto" w:sz="4" w:space="0"/>
            </w:tcBorders>
            <w:vAlign w:val="center"/>
          </w:tcPr>
          <w:p>
            <w:pPr>
              <w:widowControl/>
              <w:jc w:val="center"/>
              <w:rPr>
                <w:rFonts w:hint="default" w:ascii="Times New Roman" w:hAnsi="Times New Roman" w:eastAsia="仿宋" w:cs="Times New Roman"/>
                <w:kern w:val="0"/>
                <w:sz w:val="24"/>
              </w:rPr>
            </w:pPr>
          </w:p>
        </w:tc>
        <w:tc>
          <w:tcPr>
            <w:tcW w:w="1783" w:type="dxa"/>
            <w:vMerge w:val="continue"/>
            <w:tcBorders>
              <w:left w:val="single" w:color="auto" w:sz="4" w:space="0"/>
              <w:bottom w:val="single" w:color="auto" w:sz="6" w:space="0"/>
              <w:right w:val="single" w:color="auto" w:sz="4" w:space="0"/>
            </w:tcBorders>
            <w:vAlign w:val="center"/>
          </w:tcPr>
          <w:p>
            <w:pPr>
              <w:widowControl/>
              <w:jc w:val="center"/>
              <w:rPr>
                <w:rFonts w:hint="default" w:ascii="Times New Roman" w:hAnsi="Times New Roman" w:eastAsia="仿宋" w:cs="Times New Roman"/>
                <w:kern w:val="0"/>
                <w:sz w:val="24"/>
              </w:rPr>
            </w:pPr>
          </w:p>
        </w:tc>
        <w:tc>
          <w:tcPr>
            <w:tcW w:w="1679" w:type="dxa"/>
            <w:tcBorders>
              <w:top w:val="single" w:color="auto" w:sz="6" w:space="0"/>
              <w:left w:val="single" w:color="auto" w:sz="4" w:space="0"/>
              <w:bottom w:val="single" w:color="auto" w:sz="6"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eastAsia="仿宋" w:cs="Times New Roman"/>
                <w:kern w:val="0"/>
                <w:sz w:val="24"/>
                <w:lang w:val="en-US" w:eastAsia="zh-CN"/>
              </w:rPr>
              <w:t>用水口径</w:t>
            </w:r>
          </w:p>
        </w:tc>
        <w:tc>
          <w:tcPr>
            <w:tcW w:w="1566" w:type="dxa"/>
            <w:tcBorders>
              <w:top w:val="single" w:color="auto" w:sz="6" w:space="0"/>
              <w:left w:val="single" w:color="auto" w:sz="6" w:space="0"/>
              <w:bottom w:val="single" w:color="auto" w:sz="6"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eastAsia="仿宋" w:cs="Times New Roman"/>
                <w:kern w:val="0"/>
                <w:sz w:val="24"/>
                <w:lang w:val="en-US" w:eastAsia="zh-CN"/>
              </w:rPr>
              <w:t>全口径</w:t>
            </w:r>
          </w:p>
        </w:tc>
        <w:tc>
          <w:tcPr>
            <w:tcW w:w="2213" w:type="dxa"/>
            <w:vMerge w:val="continue"/>
            <w:tcBorders>
              <w:top w:val="single" w:color="auto" w:sz="4" w:space="0"/>
              <w:left w:val="single" w:color="auto" w:sz="4" w:space="0"/>
              <w:bottom w:val="single" w:color="auto" w:sz="6" w:space="0"/>
              <w:right w:val="single" w:color="auto" w:sz="4" w:space="0"/>
            </w:tcBorders>
            <w:vAlign w:val="center"/>
          </w:tcPr>
          <w:p>
            <w:pPr>
              <w:widowControl/>
              <w:jc w:val="center"/>
              <w:rPr>
                <w:rFonts w:hint="default" w:ascii="Times New Roman" w:hAnsi="Times New Roman" w:eastAsia="仿宋" w:cs="Times New Roman"/>
                <w:kern w:val="0"/>
                <w:sz w:val="24"/>
              </w:rPr>
            </w:pPr>
          </w:p>
        </w:tc>
        <w:tc>
          <w:tcPr>
            <w:tcW w:w="1375" w:type="dxa"/>
            <w:tcBorders>
              <w:top w:val="nil"/>
              <w:left w:val="nil"/>
              <w:bottom w:val="single" w:color="auto" w:sz="6"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农村</w:t>
            </w:r>
          </w:p>
        </w:tc>
        <w:tc>
          <w:tcPr>
            <w:tcW w:w="1624" w:type="dxa"/>
            <w:tcBorders>
              <w:top w:val="nil"/>
              <w:left w:val="nil"/>
              <w:bottom w:val="single" w:color="auto" w:sz="6"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城镇</w:t>
            </w:r>
          </w:p>
        </w:tc>
        <w:tc>
          <w:tcPr>
            <w:tcW w:w="1801" w:type="dxa"/>
            <w:vMerge w:val="continue"/>
            <w:tcBorders>
              <w:top w:val="single" w:color="auto" w:sz="4" w:space="0"/>
              <w:left w:val="single" w:color="auto" w:sz="4" w:space="0"/>
              <w:bottom w:val="single" w:color="auto" w:sz="6" w:space="0"/>
            </w:tcBorders>
            <w:vAlign w:val="center"/>
          </w:tcPr>
          <w:p>
            <w:pPr>
              <w:widowControl/>
              <w:jc w:val="center"/>
              <w:rPr>
                <w:rFonts w:hint="default" w:ascii="Times New Roman" w:hAnsi="Times New Roman" w:eastAsia="仿宋" w:cs="Times New Roman"/>
                <w:kern w:val="0"/>
                <w:sz w:val="24"/>
              </w:rPr>
            </w:pPr>
          </w:p>
        </w:tc>
      </w:tr>
      <w:tr>
        <w:tblPrEx>
          <w:tblLayout w:type="fixed"/>
          <w:tblCellMar>
            <w:top w:w="0" w:type="dxa"/>
            <w:left w:w="108" w:type="dxa"/>
            <w:bottom w:w="0" w:type="dxa"/>
            <w:right w:w="108" w:type="dxa"/>
          </w:tblCellMar>
        </w:tblPrEx>
        <w:trPr>
          <w:trHeight w:val="518" w:hRule="atLeast"/>
          <w:jc w:val="center"/>
        </w:trPr>
        <w:tc>
          <w:tcPr>
            <w:tcW w:w="1839" w:type="dxa"/>
            <w:tcBorders>
              <w:top w:val="single" w:color="auto" w:sz="12"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新密市</w:t>
            </w:r>
          </w:p>
        </w:tc>
        <w:tc>
          <w:tcPr>
            <w:tcW w:w="1783"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169</w:t>
            </w:r>
          </w:p>
        </w:tc>
        <w:tc>
          <w:tcPr>
            <w:tcW w:w="1679" w:type="dxa"/>
            <w:tcBorders>
              <w:top w:val="single" w:color="auto" w:sz="12" w:space="0"/>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10.6</w:t>
            </w:r>
          </w:p>
        </w:tc>
        <w:tc>
          <w:tcPr>
            <w:tcW w:w="1566" w:type="dxa"/>
            <w:tcBorders>
              <w:top w:val="single" w:color="auto" w:sz="12" w:space="0"/>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15.5</w:t>
            </w:r>
          </w:p>
        </w:tc>
        <w:tc>
          <w:tcPr>
            <w:tcW w:w="2213"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15.1</w:t>
            </w:r>
          </w:p>
        </w:tc>
        <w:tc>
          <w:tcPr>
            <w:tcW w:w="1375"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87</w:t>
            </w:r>
          </w:p>
        </w:tc>
        <w:tc>
          <w:tcPr>
            <w:tcW w:w="1624" w:type="dxa"/>
            <w:tcBorders>
              <w:top w:val="single" w:color="auto" w:sz="12" w:space="0"/>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149</w:t>
            </w:r>
          </w:p>
        </w:tc>
        <w:tc>
          <w:tcPr>
            <w:tcW w:w="1801" w:type="dxa"/>
            <w:tcBorders>
              <w:top w:val="single" w:color="auto" w:sz="12" w:space="0"/>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84</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新郑市</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296</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12.0</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22.4</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12.8</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62</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218</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105</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荥阳市</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257</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17.5</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20.9</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12.6</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45</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154</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112</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登封市</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198</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12.3</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18.9</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12.1</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98</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188</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119</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中牟县</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444</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50.7</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62.9</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9.1</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62</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150</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221</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郑州市区</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167</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5.0</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18.1</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15.8</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184</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228</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92</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航空港区</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228</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11.9</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20.5</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15.6</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57</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237</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48</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上街区</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256</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11.3</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22.7</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19.8</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65</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198</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64</w:t>
            </w:r>
          </w:p>
        </w:tc>
      </w:tr>
      <w:tr>
        <w:tblPrEx>
          <w:tblLayout w:type="fixed"/>
          <w:tblCellMar>
            <w:top w:w="0" w:type="dxa"/>
            <w:left w:w="108" w:type="dxa"/>
            <w:bottom w:w="0" w:type="dxa"/>
            <w:right w:w="108" w:type="dxa"/>
          </w:tblCellMar>
        </w:tblPrEx>
        <w:trPr>
          <w:trHeight w:val="420" w:hRule="atLeast"/>
          <w:jc w:val="center"/>
        </w:trPr>
        <w:tc>
          <w:tcPr>
            <w:tcW w:w="1839" w:type="dxa"/>
            <w:tcBorders>
              <w:top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巩义市</w:t>
            </w:r>
          </w:p>
        </w:tc>
        <w:tc>
          <w:tcPr>
            <w:tcW w:w="178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184</w:t>
            </w:r>
          </w:p>
        </w:tc>
        <w:tc>
          <w:tcPr>
            <w:tcW w:w="1679" w:type="dxa"/>
            <w:tcBorders>
              <w:top w:val="nil"/>
              <w:left w:val="nil"/>
              <w:bottom w:val="single" w:color="auto" w:sz="4" w:space="0"/>
              <w:right w:val="single" w:color="auto" w:sz="6"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13.3</w:t>
            </w:r>
          </w:p>
        </w:tc>
        <w:tc>
          <w:tcPr>
            <w:tcW w:w="1566" w:type="dxa"/>
            <w:tcBorders>
              <w:top w:val="nil"/>
              <w:left w:val="single" w:color="auto" w:sz="6" w:space="0"/>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19.0</w:t>
            </w:r>
          </w:p>
        </w:tc>
        <w:tc>
          <w:tcPr>
            <w:tcW w:w="221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13.1</w:t>
            </w:r>
          </w:p>
        </w:tc>
        <w:tc>
          <w:tcPr>
            <w:tcW w:w="13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97</w:t>
            </w:r>
          </w:p>
        </w:tc>
        <w:tc>
          <w:tcPr>
            <w:tcW w:w="162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121</w:t>
            </w:r>
          </w:p>
        </w:tc>
        <w:tc>
          <w:tcPr>
            <w:tcW w:w="1801" w:type="dxa"/>
            <w:tcBorders>
              <w:top w:val="nil"/>
              <w:left w:val="nil"/>
              <w:bottom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217</w:t>
            </w:r>
          </w:p>
        </w:tc>
      </w:tr>
      <w:tr>
        <w:tblPrEx>
          <w:tblLayout w:type="fixed"/>
          <w:tblCellMar>
            <w:top w:w="0" w:type="dxa"/>
            <w:left w:w="108" w:type="dxa"/>
            <w:bottom w:w="0" w:type="dxa"/>
            <w:right w:w="108" w:type="dxa"/>
          </w:tblCellMar>
        </w:tblPrEx>
        <w:trPr>
          <w:trHeight w:val="567" w:hRule="atLeast"/>
          <w:jc w:val="center"/>
        </w:trPr>
        <w:tc>
          <w:tcPr>
            <w:tcW w:w="1839" w:type="dxa"/>
            <w:tcBorders>
              <w:top w:val="nil"/>
              <w:bottom w:val="single" w:color="auto" w:sz="12"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4"/>
              </w:rPr>
            </w:pPr>
            <w:r>
              <w:rPr>
                <w:rFonts w:hint="eastAsia" w:ascii="仿宋" w:hAnsi="仿宋" w:eastAsia="仿宋" w:cs="仿宋"/>
                <w:i w:val="0"/>
                <w:color w:val="000000"/>
                <w:kern w:val="0"/>
                <w:sz w:val="24"/>
                <w:szCs w:val="24"/>
                <w:u w:val="none"/>
                <w:lang w:val="en-US" w:eastAsia="zh-CN" w:bidi="ar"/>
              </w:rPr>
              <w:t>全区</w:t>
            </w:r>
          </w:p>
        </w:tc>
        <w:tc>
          <w:tcPr>
            <w:tcW w:w="1783"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204</w:t>
            </w:r>
          </w:p>
        </w:tc>
        <w:tc>
          <w:tcPr>
            <w:tcW w:w="1679" w:type="dxa"/>
            <w:tcBorders>
              <w:top w:val="nil"/>
              <w:left w:val="nil"/>
              <w:bottom w:val="single" w:color="auto" w:sz="12" w:space="0"/>
              <w:right w:val="single" w:color="auto" w:sz="6"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10.6</w:t>
            </w:r>
          </w:p>
        </w:tc>
        <w:tc>
          <w:tcPr>
            <w:tcW w:w="1566" w:type="dxa"/>
            <w:tcBorders>
              <w:top w:val="nil"/>
              <w:left w:val="single" w:color="auto" w:sz="6" w:space="0"/>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20.4</w:t>
            </w:r>
          </w:p>
        </w:tc>
        <w:tc>
          <w:tcPr>
            <w:tcW w:w="2213"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14.1</w:t>
            </w:r>
          </w:p>
        </w:tc>
        <w:tc>
          <w:tcPr>
            <w:tcW w:w="1375"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100</w:t>
            </w:r>
          </w:p>
        </w:tc>
        <w:tc>
          <w:tcPr>
            <w:tcW w:w="1624"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207</w:t>
            </w:r>
          </w:p>
        </w:tc>
        <w:tc>
          <w:tcPr>
            <w:tcW w:w="1801" w:type="dxa"/>
            <w:tcBorders>
              <w:top w:val="nil"/>
              <w:left w:val="nil"/>
              <w:bottom w:val="single" w:color="auto" w:sz="12" w:space="0"/>
            </w:tcBorders>
            <w:vAlign w:val="center"/>
          </w:tcPr>
          <w:p>
            <w:pPr>
              <w:widowControl/>
              <w:jc w:val="center"/>
              <w:rPr>
                <w:rFonts w:hint="default" w:ascii="Times New Roman" w:hAnsi="Times New Roman" w:eastAsia="仿宋" w:cs="Times New Roman"/>
                <w:kern w:val="0"/>
                <w:sz w:val="24"/>
              </w:rPr>
            </w:pPr>
            <w:r>
              <w:rPr>
                <w:rFonts w:hint="eastAsia" w:ascii="Times New Roman" w:hAnsi="Times New Roman" w:eastAsia="仿宋" w:cs="Times New Roman"/>
                <w:kern w:val="0"/>
                <w:sz w:val="24"/>
                <w:lang w:val="en-US" w:eastAsia="zh-CN"/>
              </w:rPr>
              <w:t>144</w:t>
            </w:r>
          </w:p>
        </w:tc>
      </w:tr>
    </w:tbl>
    <w:p>
      <w:pPr>
        <w:widowControl/>
        <w:jc w:val="both"/>
        <w:rPr>
          <w:rFonts w:hint="eastAsia" w:eastAsia="仿宋" w:cs="Times New Roman"/>
          <w:sz w:val="24"/>
          <w:szCs w:val="24"/>
          <w:vertAlign w:val="baseline"/>
          <w:lang w:val="en-US" w:eastAsia="zh-CN"/>
        </w:rPr>
      </w:pPr>
      <w:r>
        <w:rPr>
          <w:rFonts w:hint="eastAsia" w:eastAsia="仿宋_GB2312" w:cs="Times New Roman"/>
          <w:kern w:val="0"/>
          <w:sz w:val="24"/>
          <w:szCs w:val="24"/>
          <w:lang w:val="en-US" w:eastAsia="zh-CN"/>
        </w:rPr>
        <w:t>注：1、</w:t>
      </w:r>
      <w:r>
        <w:rPr>
          <w:rFonts w:hint="eastAsia" w:eastAsia="仿宋" w:cs="Times New Roman"/>
          <w:sz w:val="24"/>
          <w:szCs w:val="24"/>
          <w:vertAlign w:val="baseline"/>
          <w:lang w:val="en-US" w:eastAsia="zh-CN"/>
        </w:rPr>
        <w:t>GDP用水口径，指一产、二产、三产用水量之和，不包含生活用水和生态环境用水，与河南省公报统计口径一致；</w:t>
      </w:r>
    </w:p>
    <w:p>
      <w:pPr>
        <w:pStyle w:val="2"/>
        <w:rPr>
          <w:rFonts w:hint="default"/>
          <w:lang w:val="en-US" w:eastAsia="zh-CN"/>
        </w:rPr>
      </w:pPr>
      <w:r>
        <w:rPr>
          <w:rFonts w:hint="eastAsia" w:eastAsia="仿宋" w:cs="Times New Roman"/>
          <w:sz w:val="24"/>
          <w:szCs w:val="24"/>
          <w:vertAlign w:val="baseline"/>
          <w:lang w:val="en-US" w:eastAsia="zh-CN"/>
        </w:rPr>
        <w:t>2、GDP用水全口径，指年总用水量；</w:t>
      </w:r>
    </w:p>
    <w:p>
      <w:pPr>
        <w:pStyle w:val="2"/>
        <w:rPr>
          <w:rFonts w:hint="default"/>
          <w:sz w:val="24"/>
          <w:szCs w:val="24"/>
          <w:lang w:val="en-US" w:eastAsia="zh-CN"/>
        </w:rPr>
      </w:pPr>
      <w:r>
        <w:rPr>
          <w:rFonts w:hint="eastAsia" w:eastAsia="仿宋" w:cs="Times New Roman"/>
          <w:sz w:val="24"/>
          <w:szCs w:val="24"/>
          <w:vertAlign w:val="baseline"/>
          <w:lang w:val="en-US" w:eastAsia="zh-CN"/>
        </w:rPr>
        <w:t>3、</w:t>
      </w:r>
      <w:r>
        <w:rPr>
          <w:rFonts w:hint="eastAsia" w:eastAsia="仿宋" w:cs="Times New Roman"/>
          <w:sz w:val="24"/>
          <w:szCs w:val="24"/>
          <w:lang w:val="en-US" w:eastAsia="zh-CN"/>
        </w:rPr>
        <w:t>城镇综合用水，统计口径自2018年起调整为，城镇综合用水=城镇居民生活用水+第三产业用水+建筑业用水，扣除以往统计中包含的城镇环境用水。</w:t>
      </w:r>
    </w:p>
    <w:p>
      <w:pPr>
        <w:widowControl/>
        <w:jc w:val="center"/>
        <w:rPr>
          <w:rFonts w:hint="default" w:ascii="Times New Roman" w:hAnsi="Times New Roman" w:cs="Times New Roman"/>
          <w:kern w:val="0"/>
          <w:sz w:val="24"/>
        </w:rPr>
      </w:pPr>
    </w:p>
    <w:p>
      <w:pPr>
        <w:widowControl/>
        <w:rPr>
          <w:rFonts w:hint="default" w:ascii="Times New Roman" w:hAnsi="Times New Roman" w:cs="Times New Roman"/>
        </w:rPr>
        <w:sectPr>
          <w:pgSz w:w="16838" w:h="11906" w:orient="landscape"/>
          <w:pgMar w:top="1247" w:right="1418" w:bottom="1247" w:left="1418" w:header="851" w:footer="992" w:gutter="0"/>
          <w:pgBorders>
            <w:top w:val="none" w:sz="0" w:space="0"/>
            <w:left w:val="none" w:sz="0" w:space="0"/>
            <w:bottom w:val="none" w:sz="0" w:space="0"/>
            <w:right w:val="none" w:sz="0" w:space="0"/>
          </w:pgBorders>
          <w:cols w:space="425" w:num="1"/>
          <w:docGrid w:linePitch="312" w:charSpace="0"/>
        </w:sectPr>
      </w:pPr>
    </w:p>
    <w:p>
      <w:pPr>
        <w:pStyle w:val="3"/>
        <w:spacing w:before="0" w:after="0" w:line="360" w:lineRule="auto"/>
        <w:jc w:val="center"/>
        <w:rPr>
          <w:rFonts w:hint="default" w:ascii="Times New Roman" w:hAnsi="Times New Roman" w:eastAsia="黑体" w:cs="Times New Roman"/>
          <w:b w:val="0"/>
        </w:rPr>
      </w:pPr>
      <w:bookmarkStart w:id="31" w:name="_Toc20466"/>
      <w:r>
        <w:rPr>
          <w:rFonts w:hint="default" w:ascii="Times New Roman" w:hAnsi="Times New Roman" w:eastAsia="黑体" w:cs="Times New Roman"/>
          <w:b w:val="0"/>
        </w:rPr>
        <w:t>5 水功能区水质</w:t>
      </w:r>
      <w:bookmarkEnd w:id="31"/>
    </w:p>
    <w:p>
      <w:pPr>
        <w:pStyle w:val="4"/>
        <w:spacing w:before="0" w:after="0" w:line="360" w:lineRule="auto"/>
        <w:rPr>
          <w:rFonts w:hint="default" w:ascii="Times New Roman" w:hAnsi="Times New Roman" w:eastAsia="黑体" w:cs="Times New Roman"/>
          <w:b w:val="0"/>
          <w:lang w:val="en-US" w:eastAsia="zh-CN"/>
        </w:rPr>
      </w:pPr>
      <w:bookmarkStart w:id="32" w:name="_Toc11598"/>
      <w:r>
        <w:rPr>
          <w:rFonts w:hint="default" w:ascii="Times New Roman" w:hAnsi="Times New Roman" w:cs="Times New Roman"/>
          <w:b w:val="0"/>
        </w:rPr>
        <w:t>5.1 水功能区</w:t>
      </w:r>
      <w:r>
        <w:rPr>
          <w:rFonts w:hint="eastAsia" w:ascii="Times New Roman" w:hAnsi="Times New Roman" w:cs="Times New Roman"/>
          <w:b w:val="0"/>
          <w:lang w:val="en-US" w:eastAsia="zh-CN"/>
        </w:rPr>
        <w:t>水质达标评价</w:t>
      </w:r>
      <w:bookmarkEnd w:id="32"/>
    </w:p>
    <w:p>
      <w:pPr>
        <w:spacing w:line="360" w:lineRule="auto"/>
        <w:ind w:firstLine="600" w:firstLineChars="200"/>
        <w:rPr>
          <w:rFonts w:hint="default" w:ascii="Times New Roman" w:hAnsi="Times New Roman" w:eastAsia="仿宋" w:cs="Times New Roman"/>
          <w:sz w:val="30"/>
          <w:szCs w:val="30"/>
        </w:rPr>
      </w:pPr>
      <w:r>
        <w:rPr>
          <w:rFonts w:hint="eastAsia" w:ascii="Times New Roman" w:hAnsi="Times New Roman" w:eastAsia="仿宋" w:cs="Times New Roman"/>
          <w:sz w:val="30"/>
          <w:szCs w:val="30"/>
          <w:lang w:val="en-US" w:eastAsia="zh-CN"/>
        </w:rPr>
        <w:t>根据</w:t>
      </w:r>
      <w:r>
        <w:rPr>
          <w:rFonts w:hint="default" w:ascii="Times New Roman" w:hAnsi="Times New Roman" w:eastAsia="仿宋" w:cs="Times New Roman"/>
          <w:sz w:val="30"/>
          <w:szCs w:val="30"/>
          <w:lang w:val="en-US" w:eastAsia="zh-CN"/>
        </w:rPr>
        <w:t>郑州市</w:t>
      </w:r>
      <w:r>
        <w:rPr>
          <w:rFonts w:hint="eastAsia" w:ascii="Times New Roman" w:hAnsi="Times New Roman" w:eastAsia="仿宋" w:cs="Times New Roman"/>
          <w:sz w:val="30"/>
          <w:szCs w:val="30"/>
          <w:lang w:val="en-US" w:eastAsia="zh-CN"/>
        </w:rPr>
        <w:t>水功能区监测成果，2018年</w:t>
      </w:r>
      <w:r>
        <w:rPr>
          <w:rFonts w:hint="default" w:ascii="Times New Roman" w:hAnsi="Times New Roman" w:eastAsia="仿宋" w:cs="Times New Roman"/>
          <w:sz w:val="30"/>
          <w:szCs w:val="30"/>
          <w:lang w:val="en-US" w:eastAsia="zh-CN"/>
        </w:rPr>
        <w:t>共监测水功能区21个，对应水质监测断面27个，涉及6条重要河流。</w:t>
      </w:r>
      <w:r>
        <w:rPr>
          <w:rFonts w:hint="eastAsia" w:ascii="Times New Roman" w:hAnsi="Times New Roman" w:eastAsia="仿宋" w:cs="Times New Roman"/>
          <w:sz w:val="30"/>
          <w:szCs w:val="30"/>
          <w:lang w:val="en-US" w:eastAsia="zh-CN"/>
        </w:rPr>
        <w:t>质量评价执行</w:t>
      </w:r>
      <w:r>
        <w:rPr>
          <w:rFonts w:hint="default" w:ascii="Times New Roman" w:hAnsi="Times New Roman" w:eastAsia="仿宋" w:cs="Times New Roman"/>
          <w:sz w:val="30"/>
          <w:szCs w:val="30"/>
          <w:lang w:val="en-US" w:eastAsia="zh-CN"/>
        </w:rPr>
        <w:t>《地表水环境质量标准》（GB3838-2002）</w:t>
      </w:r>
      <w:r>
        <w:rPr>
          <w:rFonts w:hint="eastAsia" w:ascii="Times New Roman" w:hAnsi="Times New Roman" w:eastAsia="仿宋" w:cs="Times New Roman"/>
          <w:sz w:val="30"/>
          <w:szCs w:val="30"/>
          <w:lang w:val="en-US" w:eastAsia="zh-CN"/>
        </w:rPr>
        <w:t>。全年开展监测12次，实际采集到有效水质样品的断面为311个。水功能区水质达标评价同时进行水功能区全因子和水功能区限制纳污红线主要控制项目</w:t>
      </w:r>
      <w:r>
        <w:rPr>
          <w:rFonts w:hint="eastAsia" w:eastAsia="仿宋" w:cs="Times New Roman"/>
          <w:sz w:val="30"/>
          <w:szCs w:val="30"/>
          <w:lang w:eastAsia="zh-CN"/>
        </w:rPr>
        <w:t>（</w:t>
      </w:r>
      <w:r>
        <w:rPr>
          <w:rFonts w:hint="eastAsia" w:eastAsia="仿宋" w:cs="Times New Roman"/>
          <w:sz w:val="30"/>
          <w:szCs w:val="30"/>
          <w:lang w:val="en-US" w:eastAsia="zh-CN"/>
        </w:rPr>
        <w:t>双因子</w:t>
      </w:r>
      <w:r>
        <w:rPr>
          <w:rFonts w:hint="eastAsia" w:eastAsia="仿宋" w:cs="Times New Roman"/>
          <w:sz w:val="30"/>
          <w:szCs w:val="30"/>
          <w:lang w:eastAsia="zh-CN"/>
        </w:rPr>
        <w:t>）</w:t>
      </w:r>
      <w:r>
        <w:rPr>
          <w:rFonts w:hint="eastAsia" w:ascii="Times New Roman" w:hAnsi="Times New Roman" w:eastAsia="仿宋" w:cs="Times New Roman"/>
          <w:sz w:val="30"/>
          <w:szCs w:val="30"/>
          <w:lang w:val="en-US" w:eastAsia="zh-CN"/>
        </w:rPr>
        <w:t>达标评价</w:t>
      </w:r>
      <w:r>
        <w:rPr>
          <w:rFonts w:hint="default" w:ascii="Times New Roman" w:hAnsi="Times New Roman" w:eastAsia="仿宋" w:cs="Times New Roman"/>
          <w:sz w:val="30"/>
          <w:szCs w:val="30"/>
        </w:rPr>
        <w:t>。</w:t>
      </w:r>
    </w:p>
    <w:p>
      <w:pPr>
        <w:spacing w:line="360" w:lineRule="auto"/>
        <w:ind w:firstLine="600" w:firstLineChars="200"/>
        <w:rPr>
          <w:rFonts w:hint="eastAsia" w:ascii="Times New Roman" w:hAnsi="Times New Roman" w:eastAsia="仿宋" w:cs="Times New Roman"/>
          <w:sz w:val="30"/>
          <w:szCs w:val="30"/>
          <w:lang w:val="en-US" w:eastAsia="zh-CN"/>
        </w:rPr>
      </w:pPr>
      <w:r>
        <w:rPr>
          <w:rFonts w:hint="eastAsia" w:ascii="Times New Roman" w:hAnsi="Times New Roman" w:eastAsia="仿宋" w:cs="Times New Roman"/>
          <w:sz w:val="30"/>
          <w:szCs w:val="30"/>
          <w:lang w:val="en-US" w:eastAsia="zh-CN"/>
        </w:rPr>
        <w:t>监测断面全年达标次数除以断面实际监测次数，即为该断面全年达标率。水</w:t>
      </w:r>
      <w:r>
        <w:rPr>
          <w:rFonts w:hint="eastAsia" w:ascii="Times New Roman" w:hAnsi="Times New Roman" w:eastAsia="仿宋" w:cs="Times New Roman"/>
          <w:sz w:val="30"/>
          <w:szCs w:val="30"/>
        </w:rPr>
        <w:t>功能区单次评价达标次数占总评价次数80%以上（含80%）的水功能区为年度达标水功能区。连续断流时间超过（含）6个月的河流水功能区不参加达标评价。</w:t>
      </w:r>
    </w:p>
    <w:p>
      <w:pPr>
        <w:spacing w:line="360" w:lineRule="auto"/>
        <w:ind w:firstLine="600" w:firstLineChars="200"/>
        <w:rPr>
          <w:rFonts w:hint="default" w:eastAsia="仿宋" w:cs="Times New Roman"/>
          <w:b w:val="0"/>
          <w:bCs w:val="0"/>
          <w:sz w:val="30"/>
          <w:szCs w:val="30"/>
          <w:lang w:val="en-US" w:eastAsia="zh-CN"/>
        </w:rPr>
      </w:pPr>
      <w:r>
        <w:rPr>
          <w:rFonts w:hint="eastAsia" w:ascii="Times New Roman" w:hAnsi="Times New Roman" w:eastAsia="仿宋" w:cs="Times New Roman"/>
          <w:b w:val="0"/>
          <w:bCs w:val="0"/>
          <w:sz w:val="30"/>
          <w:szCs w:val="30"/>
          <w:lang w:val="en-US" w:eastAsia="zh-CN"/>
        </w:rPr>
        <w:t>全因子达标评价</w:t>
      </w:r>
      <w:r>
        <w:rPr>
          <w:rFonts w:hint="eastAsia" w:eastAsia="仿宋" w:cs="Times New Roman"/>
          <w:b w:val="0"/>
          <w:bCs w:val="0"/>
          <w:sz w:val="30"/>
          <w:szCs w:val="30"/>
          <w:lang w:val="en-US" w:eastAsia="zh-CN"/>
        </w:rPr>
        <w:t>：2019年郑州市水功能区达标断面数6个，</w:t>
      </w:r>
      <w:r>
        <w:rPr>
          <w:rFonts w:hint="eastAsia" w:ascii="Times New Roman" w:hAnsi="Times New Roman" w:eastAsia="仿宋" w:cs="Times New Roman"/>
          <w:sz w:val="30"/>
          <w:szCs w:val="30"/>
          <w:lang w:val="en-US" w:eastAsia="zh-CN"/>
        </w:rPr>
        <w:t>年</w:t>
      </w:r>
      <w:r>
        <w:rPr>
          <w:rFonts w:hint="eastAsia" w:eastAsia="仿宋" w:cs="Times New Roman"/>
          <w:sz w:val="30"/>
          <w:szCs w:val="30"/>
          <w:lang w:val="en-US" w:eastAsia="zh-CN"/>
        </w:rPr>
        <w:t>达标率</w:t>
      </w:r>
      <w:r>
        <w:rPr>
          <w:rFonts w:hint="eastAsia" w:eastAsia="仿宋" w:cs="Times New Roman"/>
          <w:b w:val="0"/>
          <w:bCs w:val="0"/>
          <w:sz w:val="30"/>
          <w:szCs w:val="30"/>
          <w:lang w:val="en-US" w:eastAsia="zh-CN"/>
        </w:rPr>
        <w:t>23.1%。</w:t>
      </w:r>
      <w:r>
        <w:rPr>
          <w:rFonts w:hint="eastAsia" w:ascii="Times New Roman" w:hAnsi="Times New Roman" w:eastAsia="仿宋" w:cs="Times New Roman"/>
          <w:b w:val="0"/>
          <w:bCs w:val="0"/>
          <w:sz w:val="30"/>
          <w:szCs w:val="30"/>
          <w:lang w:val="en-US" w:eastAsia="zh-CN"/>
        </w:rPr>
        <w:t>1</w:t>
      </w:r>
      <w:r>
        <w:rPr>
          <w:rFonts w:hint="eastAsia" w:eastAsia="仿宋" w:cs="Times New Roman"/>
          <w:b w:val="0"/>
          <w:bCs w:val="0"/>
          <w:sz w:val="30"/>
          <w:szCs w:val="30"/>
          <w:lang w:val="en-US" w:eastAsia="zh-CN"/>
        </w:rPr>
        <w:t>～</w:t>
      </w:r>
      <w:r>
        <w:rPr>
          <w:rFonts w:hint="eastAsia" w:ascii="Times New Roman" w:hAnsi="Times New Roman" w:eastAsia="仿宋" w:cs="Times New Roman"/>
          <w:b w:val="0"/>
          <w:bCs w:val="0"/>
          <w:sz w:val="30"/>
          <w:szCs w:val="30"/>
          <w:lang w:val="en-US" w:eastAsia="zh-CN"/>
        </w:rPr>
        <w:t>12月份各月水质达标率</w:t>
      </w:r>
      <w:r>
        <w:rPr>
          <w:rFonts w:hint="eastAsia" w:eastAsia="仿宋" w:cs="Times New Roman"/>
          <w:b w:val="0"/>
          <w:bCs w:val="0"/>
          <w:sz w:val="30"/>
          <w:szCs w:val="30"/>
          <w:lang w:val="en-US" w:eastAsia="zh-CN"/>
        </w:rPr>
        <w:t>（按</w:t>
      </w:r>
      <w:r>
        <w:rPr>
          <w:rFonts w:hint="eastAsia" w:ascii="Times New Roman" w:hAnsi="Times New Roman" w:eastAsia="仿宋" w:cs="Times New Roman"/>
          <w:sz w:val="30"/>
          <w:szCs w:val="30"/>
          <w:lang w:val="en-US" w:eastAsia="zh-CN"/>
        </w:rPr>
        <w:t>有效水质样品的断面</w:t>
      </w:r>
      <w:r>
        <w:rPr>
          <w:rFonts w:hint="eastAsia" w:eastAsia="仿宋" w:cs="Times New Roman"/>
          <w:sz w:val="30"/>
          <w:szCs w:val="30"/>
          <w:lang w:val="en-US" w:eastAsia="zh-CN"/>
        </w:rPr>
        <w:t>数计</w:t>
      </w:r>
      <w:r>
        <w:rPr>
          <w:rFonts w:hint="eastAsia" w:eastAsia="仿宋" w:cs="Times New Roman"/>
          <w:b w:val="0"/>
          <w:bCs w:val="0"/>
          <w:sz w:val="30"/>
          <w:szCs w:val="30"/>
          <w:lang w:val="en-US" w:eastAsia="zh-CN"/>
        </w:rPr>
        <w:t>）在34.6%～61.5%之间，</w:t>
      </w:r>
      <w:r>
        <w:rPr>
          <w:rFonts w:hint="eastAsia" w:eastAsia="仿宋" w:cs="Times New Roman"/>
          <w:sz w:val="30"/>
          <w:szCs w:val="30"/>
          <w:lang w:val="en-US" w:eastAsia="zh-CN"/>
        </w:rPr>
        <w:t>详见</w:t>
      </w:r>
      <w:r>
        <w:rPr>
          <w:rFonts w:hint="eastAsia" w:eastAsia="仿宋" w:cs="Times New Roman"/>
          <w:b w:val="0"/>
          <w:bCs w:val="0"/>
          <w:sz w:val="30"/>
          <w:szCs w:val="30"/>
          <w:lang w:val="en-US" w:eastAsia="zh-CN"/>
        </w:rPr>
        <w:t>图15。</w:t>
      </w:r>
    </w:p>
    <w:p>
      <w:pPr>
        <w:spacing w:line="360" w:lineRule="auto"/>
        <w:ind w:firstLine="600" w:firstLineChars="200"/>
        <w:rPr>
          <w:rFonts w:hint="eastAsia" w:eastAsia="仿宋" w:cs="Times New Roman"/>
          <w:b w:val="0"/>
          <w:bCs w:val="0"/>
          <w:sz w:val="30"/>
          <w:szCs w:val="30"/>
          <w:lang w:val="en-US" w:eastAsia="zh-CN"/>
        </w:rPr>
      </w:pPr>
      <w:r>
        <w:rPr>
          <w:rFonts w:hint="eastAsia" w:eastAsia="仿宋" w:cs="Times New Roman"/>
          <w:b w:val="0"/>
          <w:bCs w:val="0"/>
          <w:sz w:val="30"/>
          <w:szCs w:val="30"/>
          <w:lang w:val="en-US" w:eastAsia="zh-CN"/>
        </w:rPr>
        <w:t>双因子</w:t>
      </w:r>
      <w:r>
        <w:rPr>
          <w:rFonts w:hint="eastAsia" w:ascii="Times New Roman" w:hAnsi="Times New Roman" w:eastAsia="仿宋" w:cs="Times New Roman"/>
          <w:b w:val="0"/>
          <w:bCs w:val="0"/>
          <w:sz w:val="30"/>
          <w:szCs w:val="30"/>
          <w:lang w:val="en-US" w:eastAsia="zh-CN"/>
        </w:rPr>
        <w:t>达标评价</w:t>
      </w:r>
      <w:r>
        <w:rPr>
          <w:rFonts w:hint="eastAsia" w:eastAsia="仿宋" w:cs="Times New Roman"/>
          <w:b w:val="0"/>
          <w:bCs w:val="0"/>
          <w:sz w:val="30"/>
          <w:szCs w:val="30"/>
          <w:lang w:val="en-US" w:eastAsia="zh-CN"/>
        </w:rPr>
        <w:t>：201</w:t>
      </w:r>
      <w:r>
        <w:rPr>
          <w:rFonts w:hint="eastAsia" w:eastAsia="仿宋" w:cs="Times New Roman"/>
          <w:sz w:val="30"/>
          <w:szCs w:val="30"/>
          <w:lang w:val="en-US" w:eastAsia="zh-CN"/>
        </w:rPr>
        <w:t>9年郑州市水功能区达标断面数6个，</w:t>
      </w:r>
      <w:r>
        <w:rPr>
          <w:rFonts w:hint="eastAsia" w:ascii="Times New Roman" w:hAnsi="Times New Roman" w:eastAsia="仿宋" w:cs="Times New Roman"/>
          <w:sz w:val="30"/>
          <w:szCs w:val="30"/>
          <w:lang w:val="en-US" w:eastAsia="zh-CN"/>
        </w:rPr>
        <w:t>年</w:t>
      </w:r>
      <w:r>
        <w:rPr>
          <w:rFonts w:hint="eastAsia" w:eastAsia="仿宋" w:cs="Times New Roman"/>
          <w:sz w:val="30"/>
          <w:szCs w:val="30"/>
          <w:lang w:val="en-US" w:eastAsia="zh-CN"/>
        </w:rPr>
        <w:t>达标率69.2%。</w:t>
      </w:r>
      <w:r>
        <w:rPr>
          <w:rFonts w:hint="eastAsia" w:ascii="Times New Roman" w:hAnsi="Times New Roman" w:eastAsia="仿宋" w:cs="Times New Roman"/>
          <w:b w:val="0"/>
          <w:bCs w:val="0"/>
          <w:sz w:val="30"/>
          <w:szCs w:val="30"/>
          <w:lang w:val="en-US" w:eastAsia="zh-CN"/>
        </w:rPr>
        <w:t>1</w:t>
      </w:r>
      <w:r>
        <w:rPr>
          <w:rFonts w:hint="eastAsia" w:eastAsia="仿宋" w:cs="Times New Roman"/>
          <w:b w:val="0"/>
          <w:bCs w:val="0"/>
          <w:sz w:val="30"/>
          <w:szCs w:val="30"/>
          <w:lang w:val="en-US" w:eastAsia="zh-CN"/>
        </w:rPr>
        <w:t>～</w:t>
      </w:r>
      <w:r>
        <w:rPr>
          <w:rFonts w:hint="eastAsia" w:ascii="Times New Roman" w:hAnsi="Times New Roman" w:eastAsia="仿宋" w:cs="Times New Roman"/>
          <w:b w:val="0"/>
          <w:bCs w:val="0"/>
          <w:sz w:val="30"/>
          <w:szCs w:val="30"/>
          <w:lang w:val="en-US" w:eastAsia="zh-CN"/>
        </w:rPr>
        <w:t>12月份各月水质达标率</w:t>
      </w:r>
      <w:r>
        <w:rPr>
          <w:rFonts w:hint="eastAsia" w:eastAsia="仿宋" w:cs="Times New Roman"/>
          <w:b w:val="0"/>
          <w:bCs w:val="0"/>
          <w:sz w:val="30"/>
          <w:szCs w:val="30"/>
          <w:lang w:val="en-US" w:eastAsia="zh-CN"/>
        </w:rPr>
        <w:t>（按</w:t>
      </w:r>
      <w:r>
        <w:rPr>
          <w:rFonts w:hint="eastAsia" w:ascii="Times New Roman" w:hAnsi="Times New Roman" w:eastAsia="仿宋" w:cs="Times New Roman"/>
          <w:sz w:val="30"/>
          <w:szCs w:val="30"/>
          <w:lang w:val="en-US" w:eastAsia="zh-CN"/>
        </w:rPr>
        <w:t>有效水质样品的断面</w:t>
      </w:r>
      <w:r>
        <w:rPr>
          <w:rFonts w:hint="eastAsia" w:eastAsia="仿宋" w:cs="Times New Roman"/>
          <w:sz w:val="30"/>
          <w:szCs w:val="30"/>
          <w:lang w:val="en-US" w:eastAsia="zh-CN"/>
        </w:rPr>
        <w:t>数计</w:t>
      </w:r>
      <w:r>
        <w:rPr>
          <w:rFonts w:hint="eastAsia" w:eastAsia="仿宋" w:cs="Times New Roman"/>
          <w:b w:val="0"/>
          <w:bCs w:val="0"/>
          <w:sz w:val="30"/>
          <w:szCs w:val="30"/>
          <w:lang w:val="en-US" w:eastAsia="zh-CN"/>
        </w:rPr>
        <w:t>）在64.0%～96.1%之间，</w:t>
      </w:r>
      <w:r>
        <w:rPr>
          <w:rFonts w:hint="eastAsia" w:eastAsia="仿宋" w:cs="Times New Roman"/>
          <w:sz w:val="30"/>
          <w:szCs w:val="30"/>
          <w:lang w:val="en-US" w:eastAsia="zh-CN"/>
        </w:rPr>
        <w:t>详见</w:t>
      </w:r>
      <w:r>
        <w:rPr>
          <w:rFonts w:hint="eastAsia" w:eastAsia="仿宋" w:cs="Times New Roman"/>
          <w:b w:val="0"/>
          <w:bCs w:val="0"/>
          <w:sz w:val="30"/>
          <w:szCs w:val="30"/>
          <w:lang w:val="en-US" w:eastAsia="zh-CN"/>
        </w:rPr>
        <w:t>图16。</w:t>
      </w:r>
    </w:p>
    <w:p>
      <w:pPr>
        <w:spacing w:line="360" w:lineRule="auto"/>
        <w:ind w:firstLine="600" w:firstLineChars="200"/>
        <w:rPr>
          <w:rFonts w:hint="eastAsia" w:eastAsia="仿宋" w:cs="Times New Roman"/>
          <w:b w:val="0"/>
          <w:bCs w:val="0"/>
          <w:sz w:val="30"/>
          <w:szCs w:val="30"/>
          <w:lang w:val="en-US" w:eastAsia="zh-CN"/>
        </w:rPr>
      </w:pPr>
      <w:r>
        <w:rPr>
          <w:rFonts w:hint="eastAsia" w:ascii="Times New Roman" w:hAnsi="Times New Roman" w:eastAsia="仿宋" w:cs="Times New Roman"/>
          <w:sz w:val="30"/>
          <w:szCs w:val="30"/>
          <w:lang w:val="en-US" w:eastAsia="zh-CN"/>
        </w:rPr>
        <w:t>水功能区水质全因子</w:t>
      </w:r>
      <w:r>
        <w:rPr>
          <w:rFonts w:hint="eastAsia" w:eastAsia="仿宋" w:cs="Times New Roman"/>
          <w:sz w:val="30"/>
          <w:szCs w:val="30"/>
          <w:lang w:val="en-US" w:eastAsia="zh-CN"/>
        </w:rPr>
        <w:t>和双因子</w:t>
      </w:r>
      <w:r>
        <w:rPr>
          <w:rFonts w:hint="eastAsia" w:ascii="Times New Roman" w:hAnsi="Times New Roman" w:eastAsia="仿宋" w:cs="Times New Roman"/>
          <w:sz w:val="30"/>
          <w:szCs w:val="30"/>
          <w:lang w:val="en-US" w:eastAsia="zh-CN"/>
        </w:rPr>
        <w:t>达标评价</w:t>
      </w:r>
      <w:r>
        <w:rPr>
          <w:rFonts w:hint="eastAsia" w:eastAsia="仿宋" w:cs="Times New Roman"/>
          <w:sz w:val="30"/>
          <w:szCs w:val="30"/>
          <w:lang w:val="en-US" w:eastAsia="zh-CN"/>
        </w:rPr>
        <w:t>，</w:t>
      </w:r>
      <w:r>
        <w:rPr>
          <w:rFonts w:hint="eastAsia" w:ascii="Times New Roman" w:hAnsi="Times New Roman" w:eastAsia="仿宋" w:cs="Times New Roman"/>
          <w:b w:val="0"/>
          <w:bCs w:val="0"/>
          <w:sz w:val="30"/>
          <w:szCs w:val="30"/>
          <w:lang w:val="en-US" w:eastAsia="zh-CN"/>
        </w:rPr>
        <w:t>1</w:t>
      </w:r>
      <w:r>
        <w:rPr>
          <w:rFonts w:hint="eastAsia" w:eastAsia="仿宋" w:cs="Times New Roman"/>
          <w:b w:val="0"/>
          <w:bCs w:val="0"/>
          <w:sz w:val="30"/>
          <w:szCs w:val="30"/>
          <w:lang w:val="en-US" w:eastAsia="zh-CN"/>
        </w:rPr>
        <w:t>～</w:t>
      </w:r>
      <w:r>
        <w:rPr>
          <w:rFonts w:hint="eastAsia" w:ascii="Times New Roman" w:hAnsi="Times New Roman" w:eastAsia="仿宋" w:cs="Times New Roman"/>
          <w:b w:val="0"/>
          <w:bCs w:val="0"/>
          <w:sz w:val="30"/>
          <w:szCs w:val="30"/>
          <w:lang w:val="en-US" w:eastAsia="zh-CN"/>
        </w:rPr>
        <w:t>12月份各月水质达标率</w:t>
      </w:r>
      <w:r>
        <w:rPr>
          <w:rFonts w:hint="eastAsia" w:eastAsia="仿宋" w:cs="Times New Roman"/>
          <w:b w:val="0"/>
          <w:bCs w:val="0"/>
          <w:sz w:val="30"/>
          <w:szCs w:val="30"/>
          <w:lang w:val="en-US" w:eastAsia="zh-CN"/>
        </w:rPr>
        <w:t>评价成果见表16；全年</w:t>
      </w:r>
      <w:r>
        <w:rPr>
          <w:rFonts w:hint="eastAsia" w:eastAsia="仿宋" w:cs="Times New Roman"/>
          <w:sz w:val="30"/>
          <w:szCs w:val="30"/>
          <w:lang w:val="en-US" w:eastAsia="zh-CN"/>
        </w:rPr>
        <w:t>水质评价评价成果</w:t>
      </w:r>
      <w:r>
        <w:rPr>
          <w:rFonts w:hint="eastAsia" w:eastAsia="仿宋" w:cs="Times New Roman"/>
          <w:b w:val="0"/>
          <w:bCs w:val="0"/>
          <w:sz w:val="30"/>
          <w:szCs w:val="30"/>
          <w:lang w:val="en-US" w:eastAsia="zh-CN"/>
        </w:rPr>
        <w:t>表17、</w:t>
      </w:r>
      <w:r>
        <w:rPr>
          <w:rFonts w:hint="eastAsia" w:eastAsia="仿宋" w:cs="Times New Roman"/>
          <w:sz w:val="30"/>
          <w:szCs w:val="30"/>
          <w:lang w:val="en-US" w:eastAsia="zh-CN"/>
        </w:rPr>
        <w:t>表18</w:t>
      </w:r>
      <w:r>
        <w:rPr>
          <w:rFonts w:hint="eastAsia" w:eastAsia="仿宋" w:cs="Times New Roman"/>
          <w:b w:val="0"/>
          <w:bCs w:val="0"/>
          <w:sz w:val="30"/>
          <w:szCs w:val="30"/>
          <w:lang w:val="en-US" w:eastAsia="zh-CN"/>
        </w:rPr>
        <w:t>。</w:t>
      </w:r>
    </w:p>
    <w:p>
      <w:pPr>
        <w:pStyle w:val="2"/>
        <w:ind w:left="0" w:leftChars="0" w:firstLine="0" w:firstLineChars="0"/>
        <w:jc w:val="center"/>
        <w:rPr>
          <w:rFonts w:hint="default"/>
          <w:lang w:val="en-US" w:eastAsia="zh-CN"/>
        </w:rPr>
      </w:pPr>
      <w:r>
        <w:rPr>
          <w:rFonts w:hint="default" w:ascii="Times New Roman" w:hAnsi="Times New Roman" w:eastAsia="黑体" w:cs="Times New Roman"/>
          <w:color w:val="auto"/>
          <w:sz w:val="28"/>
          <w:szCs w:val="28"/>
        </w:rPr>
        <w:t>表</w:t>
      </w:r>
      <w:r>
        <w:rPr>
          <w:rFonts w:hint="eastAsia" w:eastAsia="黑体" w:cs="Times New Roman"/>
          <w:color w:val="auto"/>
          <w:sz w:val="28"/>
          <w:szCs w:val="28"/>
          <w:lang w:val="en-US" w:eastAsia="zh-CN"/>
        </w:rPr>
        <w:t>16</w:t>
      </w:r>
      <w:r>
        <w:rPr>
          <w:rFonts w:hint="default" w:ascii="Times New Roman" w:hAnsi="Times New Roman" w:eastAsia="黑体" w:cs="Times New Roman"/>
          <w:color w:val="auto"/>
          <w:sz w:val="28"/>
          <w:szCs w:val="28"/>
        </w:rPr>
        <w:t xml:space="preserve">  2018年郑州市水功能区</w:t>
      </w:r>
      <w:r>
        <w:rPr>
          <w:rFonts w:hint="eastAsia" w:eastAsia="黑体" w:cs="Times New Roman"/>
          <w:color w:val="auto"/>
          <w:sz w:val="28"/>
          <w:szCs w:val="28"/>
          <w:lang w:val="en-US" w:eastAsia="zh-CN"/>
        </w:rPr>
        <w:t>各月</w:t>
      </w:r>
      <w:r>
        <w:rPr>
          <w:rFonts w:hint="default" w:ascii="Times New Roman" w:hAnsi="Times New Roman" w:eastAsia="黑体" w:cs="Times New Roman"/>
          <w:color w:val="auto"/>
          <w:sz w:val="28"/>
          <w:szCs w:val="28"/>
        </w:rPr>
        <w:t>水质</w:t>
      </w:r>
      <w:r>
        <w:rPr>
          <w:rFonts w:hint="eastAsia" w:eastAsia="黑体" w:cs="Times New Roman"/>
          <w:color w:val="auto"/>
          <w:sz w:val="28"/>
          <w:szCs w:val="28"/>
          <w:lang w:val="en-US" w:eastAsia="zh-CN"/>
        </w:rPr>
        <w:t>达标率评价成果</w:t>
      </w:r>
      <w:r>
        <w:rPr>
          <w:rFonts w:hint="default" w:ascii="Times New Roman" w:hAnsi="Times New Roman" w:eastAsia="黑体" w:cs="Times New Roman"/>
          <w:color w:val="auto"/>
          <w:sz w:val="28"/>
          <w:szCs w:val="28"/>
        </w:rPr>
        <w:t>汇总表</w:t>
      </w:r>
    </w:p>
    <w:tbl>
      <w:tblPr>
        <w:tblStyle w:val="23"/>
        <w:tblW w:w="9400" w:type="dxa"/>
        <w:tblInd w:w="0" w:type="dxa"/>
        <w:shd w:val="clear" w:color="auto" w:fill="auto"/>
        <w:tblLayout w:type="fixed"/>
        <w:tblCellMar>
          <w:top w:w="0" w:type="dxa"/>
          <w:left w:w="0" w:type="dxa"/>
          <w:bottom w:w="0" w:type="dxa"/>
          <w:right w:w="0" w:type="dxa"/>
        </w:tblCellMar>
      </w:tblPr>
      <w:tblGrid>
        <w:gridCol w:w="1184"/>
        <w:gridCol w:w="685"/>
        <w:gridCol w:w="684"/>
        <w:gridCol w:w="685"/>
        <w:gridCol w:w="685"/>
        <w:gridCol w:w="684"/>
        <w:gridCol w:w="685"/>
        <w:gridCol w:w="685"/>
        <w:gridCol w:w="684"/>
        <w:gridCol w:w="685"/>
        <w:gridCol w:w="685"/>
        <w:gridCol w:w="684"/>
        <w:gridCol w:w="685"/>
      </w:tblGrid>
      <w:tr>
        <w:tblPrEx>
          <w:shd w:val="clear" w:color="auto" w:fill="auto"/>
          <w:tblLayout w:type="fixed"/>
          <w:tblCellMar>
            <w:top w:w="0" w:type="dxa"/>
            <w:left w:w="0" w:type="dxa"/>
            <w:bottom w:w="0" w:type="dxa"/>
            <w:right w:w="0" w:type="dxa"/>
          </w:tblCellMar>
        </w:tblPrEx>
        <w:trPr>
          <w:trHeight w:val="362" w:hRule="atLeast"/>
        </w:trPr>
        <w:tc>
          <w:tcPr>
            <w:tcW w:w="1184" w:type="dxa"/>
            <w:tcBorders>
              <w:top w:val="single" w:color="auto" w:sz="12" w:space="0"/>
              <w:left w:val="nil"/>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月</w:t>
            </w:r>
            <w:r>
              <w:rPr>
                <w:rFonts w:hint="eastAsia" w:eastAsia="仿宋" w:cs="Times New Roman"/>
                <w:i w:val="0"/>
                <w:color w:val="000000"/>
                <w:kern w:val="0"/>
                <w:sz w:val="21"/>
                <w:szCs w:val="21"/>
                <w:u w:val="none"/>
                <w:lang w:val="en-US" w:eastAsia="zh-CN" w:bidi="ar"/>
              </w:rPr>
              <w:t xml:space="preserve">  </w:t>
            </w:r>
            <w:r>
              <w:rPr>
                <w:rFonts w:hint="default" w:ascii="Times New Roman" w:hAnsi="Times New Roman" w:eastAsia="仿宋" w:cs="Times New Roman"/>
                <w:i w:val="0"/>
                <w:color w:val="000000"/>
                <w:kern w:val="0"/>
                <w:sz w:val="21"/>
                <w:szCs w:val="21"/>
                <w:u w:val="none"/>
                <w:lang w:val="en-US" w:eastAsia="zh-CN" w:bidi="ar"/>
              </w:rPr>
              <w:t>份</w:t>
            </w:r>
          </w:p>
        </w:tc>
        <w:tc>
          <w:tcPr>
            <w:tcW w:w="685"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1月</w:t>
            </w:r>
          </w:p>
        </w:tc>
        <w:tc>
          <w:tcPr>
            <w:tcW w:w="684"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2月</w:t>
            </w:r>
          </w:p>
        </w:tc>
        <w:tc>
          <w:tcPr>
            <w:tcW w:w="685"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3月</w:t>
            </w:r>
          </w:p>
        </w:tc>
        <w:tc>
          <w:tcPr>
            <w:tcW w:w="685"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4月</w:t>
            </w:r>
          </w:p>
        </w:tc>
        <w:tc>
          <w:tcPr>
            <w:tcW w:w="684"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5月</w:t>
            </w:r>
          </w:p>
        </w:tc>
        <w:tc>
          <w:tcPr>
            <w:tcW w:w="685"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6月</w:t>
            </w:r>
          </w:p>
        </w:tc>
        <w:tc>
          <w:tcPr>
            <w:tcW w:w="685"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7月</w:t>
            </w:r>
          </w:p>
        </w:tc>
        <w:tc>
          <w:tcPr>
            <w:tcW w:w="684"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8月</w:t>
            </w:r>
          </w:p>
        </w:tc>
        <w:tc>
          <w:tcPr>
            <w:tcW w:w="685"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9月</w:t>
            </w:r>
          </w:p>
        </w:tc>
        <w:tc>
          <w:tcPr>
            <w:tcW w:w="685"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10月</w:t>
            </w:r>
          </w:p>
        </w:tc>
        <w:tc>
          <w:tcPr>
            <w:tcW w:w="684"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11月</w:t>
            </w:r>
          </w:p>
        </w:tc>
        <w:tc>
          <w:tcPr>
            <w:tcW w:w="685" w:type="dxa"/>
            <w:tcBorders>
              <w:top w:val="single" w:color="auto" w:sz="12" w:space="0"/>
              <w:left w:val="single" w:color="000000" w:sz="4" w:space="0"/>
              <w:bottom w:val="single" w:color="auto" w:sz="12"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12月</w:t>
            </w:r>
          </w:p>
        </w:tc>
      </w:tr>
      <w:tr>
        <w:tblPrEx>
          <w:shd w:val="clear" w:color="auto" w:fill="auto"/>
          <w:tblLayout w:type="fixed"/>
          <w:tblCellMar>
            <w:top w:w="0" w:type="dxa"/>
            <w:left w:w="0" w:type="dxa"/>
            <w:bottom w:w="0" w:type="dxa"/>
            <w:right w:w="0" w:type="dxa"/>
          </w:tblCellMar>
        </w:tblPrEx>
        <w:trPr>
          <w:trHeight w:val="503" w:hRule="atLeast"/>
        </w:trPr>
        <w:tc>
          <w:tcPr>
            <w:tcW w:w="1184" w:type="dxa"/>
            <w:tcBorders>
              <w:top w:val="single" w:color="auto" w:sz="12"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lang w:val="en-US"/>
              </w:rPr>
            </w:pPr>
            <w:r>
              <w:rPr>
                <w:rFonts w:hint="eastAsia" w:ascii="Times New Roman" w:hAnsi="Times New Roman" w:eastAsia="仿宋" w:cs="Times New Roman"/>
                <w:i w:val="0"/>
                <w:color w:val="000000"/>
                <w:kern w:val="0"/>
                <w:sz w:val="21"/>
                <w:szCs w:val="21"/>
                <w:u w:val="none"/>
                <w:lang w:val="en-US" w:eastAsia="zh-CN" w:bidi="ar"/>
              </w:rPr>
              <w:t>全因子评价</w:t>
            </w:r>
            <w:r>
              <w:rPr>
                <w:rFonts w:hint="default" w:ascii="Times New Roman" w:hAnsi="Times New Roman" w:eastAsia="仿宋" w:cs="Times New Roman"/>
                <w:i w:val="0"/>
                <w:color w:val="000000"/>
                <w:kern w:val="0"/>
                <w:sz w:val="21"/>
                <w:szCs w:val="21"/>
                <w:u w:val="none"/>
                <w:lang w:val="en-US" w:eastAsia="zh-CN" w:bidi="ar"/>
              </w:rPr>
              <w:t>达标率</w:t>
            </w:r>
            <w:r>
              <w:rPr>
                <w:rFonts w:hint="eastAsia" w:eastAsia="仿宋" w:cs="Times New Roman"/>
                <w:i w:val="0"/>
                <w:color w:val="000000"/>
                <w:kern w:val="0"/>
                <w:sz w:val="21"/>
                <w:szCs w:val="21"/>
                <w:u w:val="none"/>
                <w:lang w:val="en-US" w:eastAsia="zh-CN" w:bidi="ar"/>
              </w:rPr>
              <w:t>(%)</w:t>
            </w:r>
          </w:p>
        </w:tc>
        <w:tc>
          <w:tcPr>
            <w:tcW w:w="685"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40.0</w:t>
            </w:r>
          </w:p>
        </w:tc>
        <w:tc>
          <w:tcPr>
            <w:tcW w:w="684"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42.3</w:t>
            </w:r>
          </w:p>
        </w:tc>
        <w:tc>
          <w:tcPr>
            <w:tcW w:w="685"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34.6</w:t>
            </w:r>
          </w:p>
        </w:tc>
        <w:tc>
          <w:tcPr>
            <w:tcW w:w="685"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42.3</w:t>
            </w:r>
          </w:p>
        </w:tc>
        <w:tc>
          <w:tcPr>
            <w:tcW w:w="684"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38.5</w:t>
            </w:r>
          </w:p>
        </w:tc>
        <w:tc>
          <w:tcPr>
            <w:tcW w:w="685"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46.2</w:t>
            </w:r>
          </w:p>
        </w:tc>
        <w:tc>
          <w:tcPr>
            <w:tcW w:w="685"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50.0</w:t>
            </w:r>
          </w:p>
        </w:tc>
        <w:tc>
          <w:tcPr>
            <w:tcW w:w="684"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50.0</w:t>
            </w:r>
          </w:p>
        </w:tc>
        <w:tc>
          <w:tcPr>
            <w:tcW w:w="685"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46.2</w:t>
            </w:r>
          </w:p>
        </w:tc>
        <w:tc>
          <w:tcPr>
            <w:tcW w:w="685"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61.5</w:t>
            </w:r>
          </w:p>
        </w:tc>
        <w:tc>
          <w:tcPr>
            <w:tcW w:w="684"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50.0</w:t>
            </w:r>
          </w:p>
        </w:tc>
        <w:tc>
          <w:tcPr>
            <w:tcW w:w="685" w:type="dxa"/>
            <w:tcBorders>
              <w:top w:val="single" w:color="auto" w:sz="12"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57.7</w:t>
            </w:r>
          </w:p>
        </w:tc>
      </w:tr>
      <w:tr>
        <w:tblPrEx>
          <w:shd w:val="clear" w:color="auto" w:fill="auto"/>
          <w:tblLayout w:type="fixed"/>
          <w:tblCellMar>
            <w:top w:w="0" w:type="dxa"/>
            <w:left w:w="0" w:type="dxa"/>
            <w:bottom w:w="0" w:type="dxa"/>
            <w:right w:w="0" w:type="dxa"/>
          </w:tblCellMar>
        </w:tblPrEx>
        <w:trPr>
          <w:trHeight w:val="512" w:hRule="atLeast"/>
        </w:trPr>
        <w:tc>
          <w:tcPr>
            <w:tcW w:w="1184" w:type="dxa"/>
            <w:tcBorders>
              <w:top w:val="single" w:color="000000" w:sz="4" w:space="0"/>
              <w:left w:val="nil"/>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 w:cs="Times New Roman"/>
                <w:i w:val="0"/>
                <w:color w:val="000000"/>
                <w:sz w:val="21"/>
                <w:szCs w:val="21"/>
                <w:u w:val="none"/>
              </w:rPr>
            </w:pPr>
            <w:r>
              <w:rPr>
                <w:rFonts w:hint="eastAsia" w:eastAsia="仿宋" w:cs="Times New Roman"/>
                <w:i w:val="0"/>
                <w:color w:val="000000"/>
                <w:kern w:val="0"/>
                <w:sz w:val="21"/>
                <w:szCs w:val="21"/>
                <w:u w:val="none"/>
                <w:lang w:val="en-US" w:eastAsia="zh-CN" w:bidi="ar"/>
              </w:rPr>
              <w:t>双因子</w:t>
            </w:r>
            <w:r>
              <w:rPr>
                <w:rFonts w:hint="eastAsia" w:ascii="Times New Roman" w:hAnsi="Times New Roman" w:eastAsia="仿宋" w:cs="Times New Roman"/>
                <w:i w:val="0"/>
                <w:color w:val="000000"/>
                <w:kern w:val="0"/>
                <w:sz w:val="21"/>
                <w:szCs w:val="21"/>
                <w:u w:val="none"/>
                <w:lang w:val="en-US" w:eastAsia="zh-CN" w:bidi="ar"/>
              </w:rPr>
              <w:t>评价</w:t>
            </w:r>
            <w:r>
              <w:rPr>
                <w:rFonts w:hint="default" w:ascii="Times New Roman" w:hAnsi="Times New Roman" w:eastAsia="仿宋" w:cs="Times New Roman"/>
                <w:i w:val="0"/>
                <w:color w:val="000000"/>
                <w:kern w:val="0"/>
                <w:sz w:val="21"/>
                <w:szCs w:val="21"/>
                <w:u w:val="none"/>
                <w:lang w:val="en-US" w:eastAsia="zh-CN" w:bidi="ar"/>
              </w:rPr>
              <w:t>达标率</w:t>
            </w:r>
            <w:r>
              <w:rPr>
                <w:rFonts w:hint="eastAsia" w:eastAsia="仿宋" w:cs="Times New Roman"/>
                <w:i w:val="0"/>
                <w:color w:val="000000"/>
                <w:kern w:val="0"/>
                <w:sz w:val="21"/>
                <w:szCs w:val="21"/>
                <w:u w:val="none"/>
                <w:lang w:val="en-US" w:eastAsia="zh-CN" w:bidi="ar"/>
              </w:rPr>
              <w:t>(%)</w:t>
            </w:r>
          </w:p>
        </w:tc>
        <w:tc>
          <w:tcPr>
            <w:tcW w:w="685"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64.0</w:t>
            </w:r>
          </w:p>
        </w:tc>
        <w:tc>
          <w:tcPr>
            <w:tcW w:w="684"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69.2</w:t>
            </w:r>
          </w:p>
        </w:tc>
        <w:tc>
          <w:tcPr>
            <w:tcW w:w="685"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69.2</w:t>
            </w:r>
          </w:p>
        </w:tc>
        <w:tc>
          <w:tcPr>
            <w:tcW w:w="685"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69.2</w:t>
            </w:r>
          </w:p>
        </w:tc>
        <w:tc>
          <w:tcPr>
            <w:tcW w:w="684"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73.1</w:t>
            </w:r>
          </w:p>
        </w:tc>
        <w:tc>
          <w:tcPr>
            <w:tcW w:w="685"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80.8</w:t>
            </w:r>
          </w:p>
        </w:tc>
        <w:tc>
          <w:tcPr>
            <w:tcW w:w="685"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88.5</w:t>
            </w:r>
          </w:p>
        </w:tc>
        <w:tc>
          <w:tcPr>
            <w:tcW w:w="684"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80.8</w:t>
            </w:r>
          </w:p>
        </w:tc>
        <w:tc>
          <w:tcPr>
            <w:tcW w:w="685"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92.3</w:t>
            </w:r>
          </w:p>
        </w:tc>
        <w:tc>
          <w:tcPr>
            <w:tcW w:w="685"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96.1</w:t>
            </w:r>
          </w:p>
        </w:tc>
        <w:tc>
          <w:tcPr>
            <w:tcW w:w="684"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84.6</w:t>
            </w:r>
          </w:p>
        </w:tc>
        <w:tc>
          <w:tcPr>
            <w:tcW w:w="685" w:type="dxa"/>
            <w:tcBorders>
              <w:top w:val="single" w:color="000000" w:sz="4" w:space="0"/>
              <w:left w:val="single" w:color="000000" w:sz="4" w:space="0"/>
              <w:bottom w:val="single" w:color="auto" w:sz="12"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88.5</w:t>
            </w:r>
          </w:p>
        </w:tc>
      </w:tr>
    </w:tbl>
    <w:p>
      <w:pPr>
        <w:pStyle w:val="2"/>
        <w:rPr>
          <w:rFonts w:hint="eastAsia"/>
          <w:lang w:val="en-US" w:eastAsia="zh-CN"/>
        </w:rPr>
      </w:pPr>
    </w:p>
    <w:p>
      <w:pPr>
        <w:spacing w:line="360" w:lineRule="auto"/>
        <w:ind w:firstLine="600" w:firstLineChars="200"/>
        <w:rPr>
          <w:rFonts w:hint="default" w:ascii="Times New Roman" w:hAnsi="Times New Roman" w:eastAsia="仿宋" w:cs="Times New Roman"/>
          <w:sz w:val="30"/>
          <w:szCs w:val="30"/>
        </w:rPr>
      </w:pPr>
    </w:p>
    <w:p>
      <w:pPr>
        <w:widowControl/>
        <w:jc w:val="center"/>
        <w:rPr>
          <w:rFonts w:hint="default" w:ascii="Times New Roman" w:hAnsi="Times New Roman" w:cs="Times New Roman"/>
        </w:rPr>
      </w:pPr>
      <w:r>
        <w:drawing>
          <wp:inline distT="0" distB="0" distL="114300" distR="114300">
            <wp:extent cx="5696585" cy="2149475"/>
            <wp:effectExtent l="0" t="0" r="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jc w:val="center"/>
        <w:rPr>
          <w:rFonts w:hint="default" w:ascii="Times New Roman" w:hAnsi="Times New Roman" w:eastAsia="黑体" w:cs="Times New Roman"/>
          <w:sz w:val="28"/>
        </w:rPr>
      </w:pPr>
      <w:r>
        <w:rPr>
          <w:rFonts w:hint="default" w:ascii="Times New Roman" w:hAnsi="Times New Roman" w:eastAsia="黑体" w:cs="Times New Roman"/>
          <w:sz w:val="28"/>
        </w:rPr>
        <w:t xml:space="preserve">图15  </w:t>
      </w:r>
      <w:r>
        <w:rPr>
          <w:rFonts w:hint="eastAsia" w:eastAsia="黑体" w:cs="Times New Roman"/>
          <w:sz w:val="28"/>
          <w:lang w:val="en-US" w:eastAsia="zh-CN"/>
        </w:rPr>
        <w:t>郑州市水功能区水质各月达标率分布</w:t>
      </w:r>
      <w:r>
        <w:rPr>
          <w:rFonts w:hint="default" w:ascii="Times New Roman" w:hAnsi="Times New Roman" w:eastAsia="黑体" w:cs="Times New Roman"/>
          <w:sz w:val="28"/>
        </w:rPr>
        <w:t>图</w:t>
      </w:r>
      <w:r>
        <w:rPr>
          <w:rFonts w:hint="eastAsia" w:eastAsia="黑体" w:cs="Times New Roman"/>
          <w:sz w:val="28"/>
          <w:lang w:val="en-US" w:eastAsia="zh-CN"/>
        </w:rPr>
        <w:t>(全因子评价)</w:t>
      </w:r>
    </w:p>
    <w:p>
      <w:pPr>
        <w:pStyle w:val="2"/>
        <w:rPr>
          <w:rFonts w:hint="default" w:ascii="Times New Roman" w:hAnsi="Times New Roman" w:eastAsia="仿宋" w:cs="Times New Roman"/>
          <w:sz w:val="30"/>
          <w:szCs w:val="30"/>
        </w:rPr>
      </w:pPr>
    </w:p>
    <w:p>
      <w:pPr>
        <w:spacing w:line="360" w:lineRule="auto"/>
        <w:ind w:left="0" w:leftChars="0" w:firstLine="0" w:firstLineChars="0"/>
        <w:jc w:val="center"/>
      </w:pPr>
      <w:r>
        <w:drawing>
          <wp:inline distT="0" distB="0" distL="114300" distR="114300">
            <wp:extent cx="5695950" cy="2362200"/>
            <wp:effectExtent l="0" t="0" r="0" b="0"/>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jc w:val="center"/>
        <w:rPr>
          <w:rFonts w:hint="default" w:ascii="Times New Roman" w:hAnsi="Times New Roman" w:eastAsia="黑体" w:cs="Times New Roman"/>
          <w:sz w:val="28"/>
        </w:rPr>
      </w:pPr>
      <w:r>
        <w:rPr>
          <w:rFonts w:hint="default" w:ascii="Times New Roman" w:hAnsi="Times New Roman" w:eastAsia="黑体" w:cs="Times New Roman"/>
          <w:sz w:val="28"/>
        </w:rPr>
        <w:t xml:space="preserve">图15  </w:t>
      </w:r>
      <w:r>
        <w:rPr>
          <w:rFonts w:hint="eastAsia" w:eastAsia="黑体" w:cs="Times New Roman"/>
          <w:sz w:val="28"/>
          <w:lang w:val="en-US" w:eastAsia="zh-CN"/>
        </w:rPr>
        <w:t>郑州市水功能区水质各月达标率分布</w:t>
      </w:r>
      <w:r>
        <w:rPr>
          <w:rFonts w:hint="default" w:ascii="Times New Roman" w:hAnsi="Times New Roman" w:eastAsia="黑体" w:cs="Times New Roman"/>
          <w:sz w:val="28"/>
        </w:rPr>
        <w:t>图</w:t>
      </w:r>
      <w:r>
        <w:rPr>
          <w:rFonts w:hint="eastAsia" w:eastAsia="黑体" w:cs="Times New Roman"/>
          <w:sz w:val="28"/>
          <w:lang w:val="en-US" w:eastAsia="zh-CN"/>
        </w:rPr>
        <w:t>(双因子评价)</w:t>
      </w:r>
    </w:p>
    <w:p>
      <w:pPr>
        <w:pStyle w:val="2"/>
        <w:rPr>
          <w:rFonts w:hint="default"/>
        </w:rPr>
      </w:pPr>
    </w:p>
    <w:p>
      <w:pPr>
        <w:pStyle w:val="4"/>
        <w:spacing w:before="0" w:after="0" w:line="360" w:lineRule="auto"/>
        <w:jc w:val="left"/>
        <w:rPr>
          <w:rFonts w:hint="default" w:ascii="Times New Roman" w:hAnsi="Times New Roman" w:cs="Times New Roman"/>
          <w:b w:val="0"/>
        </w:rPr>
      </w:pPr>
      <w:bookmarkStart w:id="33" w:name="_Toc9614"/>
      <w:r>
        <w:rPr>
          <w:rFonts w:hint="default" w:ascii="Times New Roman" w:hAnsi="Times New Roman" w:cs="Times New Roman"/>
          <w:b w:val="0"/>
        </w:rPr>
        <w:t>5.2 省考核水功能区达标评价</w:t>
      </w:r>
      <w:bookmarkEnd w:id="33"/>
    </w:p>
    <w:p>
      <w:pPr>
        <w:spacing w:line="360" w:lineRule="auto"/>
        <w:ind w:firstLine="600" w:firstLineChars="200"/>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年郑州市列入河南省最严格水资源管理考核的地表水功能区</w:t>
      </w:r>
      <w:r>
        <w:rPr>
          <w:rFonts w:hint="eastAsia" w:eastAsia="仿宋" w:cs="Times New Roman"/>
          <w:sz w:val="30"/>
          <w:szCs w:val="30"/>
          <w:lang w:val="en-US" w:eastAsia="zh-CN"/>
        </w:rPr>
        <w:t>11</w:t>
      </w:r>
      <w:r>
        <w:rPr>
          <w:rFonts w:hint="default" w:ascii="Times New Roman" w:hAnsi="Times New Roman" w:eastAsia="仿宋" w:cs="Times New Roman"/>
          <w:sz w:val="30"/>
          <w:szCs w:val="30"/>
        </w:rPr>
        <w:t>个。采用限制纳污红线主要控制项目</w:t>
      </w:r>
      <w:r>
        <w:rPr>
          <w:rFonts w:hint="eastAsia" w:eastAsia="仿宋" w:cs="Times New Roman"/>
          <w:sz w:val="30"/>
          <w:szCs w:val="30"/>
          <w:lang w:eastAsia="zh-CN"/>
        </w:rPr>
        <w:t>（</w:t>
      </w:r>
      <w:r>
        <w:rPr>
          <w:rFonts w:hint="eastAsia" w:eastAsia="仿宋" w:cs="Times New Roman"/>
          <w:sz w:val="30"/>
          <w:szCs w:val="30"/>
          <w:lang w:val="en-US" w:eastAsia="zh-CN"/>
        </w:rPr>
        <w:t>双因子</w:t>
      </w:r>
      <w:r>
        <w:rPr>
          <w:rFonts w:hint="eastAsia" w:eastAsia="仿宋" w:cs="Times New Roman"/>
          <w:sz w:val="30"/>
          <w:szCs w:val="30"/>
          <w:lang w:eastAsia="zh-CN"/>
        </w:rPr>
        <w:t>）</w:t>
      </w:r>
      <w:r>
        <w:rPr>
          <w:rFonts w:hint="default" w:ascii="Times New Roman" w:hAnsi="Times New Roman" w:eastAsia="仿宋" w:cs="Times New Roman"/>
          <w:sz w:val="30"/>
          <w:szCs w:val="30"/>
        </w:rPr>
        <w:t>氨氮、高锰酸盐指数（或COD）进行水质评价分析。</w:t>
      </w:r>
      <w:r>
        <w:rPr>
          <w:rFonts w:hint="eastAsia" w:ascii="Times New Roman" w:hAnsi="Times New Roman" w:eastAsia="仿宋" w:cs="Times New Roman"/>
          <w:sz w:val="30"/>
          <w:szCs w:val="30"/>
        </w:rPr>
        <w:t>年度达标</w:t>
      </w:r>
      <w:r>
        <w:rPr>
          <w:rFonts w:hint="eastAsia" w:eastAsia="仿宋" w:cs="Times New Roman"/>
          <w:sz w:val="30"/>
          <w:szCs w:val="30"/>
          <w:lang w:val="en-US" w:eastAsia="zh-CN"/>
        </w:rPr>
        <w:t>评价方法同上。</w:t>
      </w:r>
    </w:p>
    <w:p>
      <w:pPr>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评价结果表明：有1个水功能区</w:t>
      </w:r>
      <w:r>
        <w:rPr>
          <w:rFonts w:hint="default" w:ascii="Times New Roman" w:hAnsi="Times New Roman" w:eastAsia="仿宋" w:cs="Times New Roman"/>
          <w:sz w:val="30"/>
          <w:szCs w:val="30"/>
          <w:lang w:val="en-US" w:eastAsia="zh-CN"/>
        </w:rPr>
        <w:t>基本</w:t>
      </w:r>
      <w:r>
        <w:rPr>
          <w:rFonts w:hint="default" w:ascii="Times New Roman" w:hAnsi="Times New Roman" w:eastAsia="仿宋" w:cs="Times New Roman"/>
          <w:sz w:val="30"/>
          <w:szCs w:val="30"/>
        </w:rPr>
        <w:t>全年断流，不参与达标评价；有</w:t>
      </w:r>
      <w:r>
        <w:rPr>
          <w:rFonts w:hint="eastAsia" w:eastAsia="仿宋" w:cs="Times New Roman"/>
          <w:sz w:val="30"/>
          <w:szCs w:val="30"/>
          <w:lang w:val="en-US" w:eastAsia="zh-CN"/>
        </w:rPr>
        <w:t>8</w:t>
      </w:r>
      <w:r>
        <w:rPr>
          <w:rFonts w:hint="default" w:ascii="Times New Roman" w:hAnsi="Times New Roman" w:eastAsia="仿宋" w:cs="Times New Roman"/>
          <w:sz w:val="30"/>
          <w:szCs w:val="30"/>
        </w:rPr>
        <w:t>个功能区达标；有</w:t>
      </w:r>
      <w:r>
        <w:rPr>
          <w:rFonts w:hint="default" w:ascii="Times New Roman" w:hAnsi="Times New Roman" w:eastAsia="仿宋" w:cs="Times New Roman"/>
          <w:sz w:val="30"/>
          <w:szCs w:val="30"/>
          <w:lang w:val="en-US" w:eastAsia="zh-CN"/>
        </w:rPr>
        <w:t>2</w:t>
      </w:r>
      <w:r>
        <w:rPr>
          <w:rFonts w:hint="default" w:ascii="Times New Roman" w:hAnsi="Times New Roman" w:eastAsia="仿宋" w:cs="Times New Roman"/>
          <w:sz w:val="30"/>
          <w:szCs w:val="30"/>
        </w:rPr>
        <w:t>个功能区未达标。</w:t>
      </w:r>
    </w:p>
    <w:p>
      <w:pPr>
        <w:pStyle w:val="2"/>
        <w:spacing w:line="360" w:lineRule="auto"/>
        <w:rPr>
          <w:rFonts w:hint="default" w:ascii="Times New Roman" w:hAnsi="Times New Roman" w:eastAsia="仿宋" w:cs="Times New Roman"/>
          <w:b/>
          <w:bCs/>
          <w:sz w:val="30"/>
          <w:szCs w:val="30"/>
        </w:rPr>
      </w:pPr>
      <w:r>
        <w:rPr>
          <w:rFonts w:hint="default" w:ascii="Times New Roman" w:hAnsi="Times New Roman" w:eastAsia="仿宋" w:cs="Times New Roman"/>
          <w:b/>
          <w:bCs/>
          <w:sz w:val="30"/>
          <w:szCs w:val="30"/>
          <w:lang w:eastAsia="zh-CN"/>
        </w:rPr>
        <w:t>2018</w:t>
      </w:r>
      <w:r>
        <w:rPr>
          <w:rFonts w:hint="default" w:ascii="Times New Roman" w:hAnsi="Times New Roman" w:eastAsia="仿宋" w:cs="Times New Roman"/>
          <w:b/>
          <w:bCs/>
          <w:sz w:val="30"/>
          <w:szCs w:val="30"/>
        </w:rPr>
        <w:t>年郑州市水功能区达标率为</w:t>
      </w:r>
      <w:r>
        <w:rPr>
          <w:rFonts w:hint="eastAsia" w:eastAsia="仿宋" w:cs="Times New Roman"/>
          <w:b/>
          <w:bCs/>
          <w:sz w:val="30"/>
          <w:szCs w:val="30"/>
          <w:lang w:val="en-US" w:eastAsia="zh-CN"/>
        </w:rPr>
        <w:t>80.0</w:t>
      </w:r>
      <w:r>
        <w:rPr>
          <w:rFonts w:hint="default" w:ascii="Times New Roman" w:hAnsi="Times New Roman" w:eastAsia="仿宋" w:cs="Times New Roman"/>
          <w:b/>
          <w:bCs/>
          <w:sz w:val="30"/>
          <w:szCs w:val="30"/>
        </w:rPr>
        <w:t>%，达到河南省</w:t>
      </w:r>
      <w:r>
        <w:rPr>
          <w:rFonts w:hint="default" w:ascii="Times New Roman" w:hAnsi="Times New Roman" w:eastAsia="仿宋" w:cs="Times New Roman"/>
          <w:b/>
          <w:bCs/>
          <w:sz w:val="30"/>
          <w:szCs w:val="30"/>
          <w:lang w:eastAsia="zh-CN"/>
        </w:rPr>
        <w:t>2018</w:t>
      </w:r>
      <w:r>
        <w:rPr>
          <w:rFonts w:hint="default" w:ascii="Times New Roman" w:hAnsi="Times New Roman" w:eastAsia="仿宋" w:cs="Times New Roman"/>
          <w:b/>
          <w:bCs/>
          <w:sz w:val="30"/>
          <w:szCs w:val="30"/>
        </w:rPr>
        <w:t>年度最严格水资源管理控制目标水功能区达标率</w:t>
      </w:r>
      <w:r>
        <w:rPr>
          <w:rFonts w:hint="eastAsia" w:eastAsia="仿宋" w:cs="Times New Roman"/>
          <w:b/>
          <w:bCs/>
          <w:sz w:val="30"/>
          <w:szCs w:val="30"/>
          <w:lang w:val="en-US" w:eastAsia="zh-CN"/>
        </w:rPr>
        <w:t>54.54</w:t>
      </w:r>
      <w:r>
        <w:rPr>
          <w:rFonts w:hint="default" w:ascii="Times New Roman" w:hAnsi="Times New Roman" w:eastAsia="仿宋" w:cs="Times New Roman"/>
          <w:b/>
          <w:bCs/>
          <w:sz w:val="30"/>
          <w:szCs w:val="30"/>
        </w:rPr>
        <w:t>%的</w:t>
      </w:r>
      <w:r>
        <w:rPr>
          <w:rFonts w:hint="eastAsia" w:eastAsia="仿宋" w:cs="Times New Roman"/>
          <w:b/>
          <w:bCs/>
          <w:sz w:val="30"/>
          <w:szCs w:val="30"/>
          <w:lang w:val="en-US" w:eastAsia="zh-CN"/>
        </w:rPr>
        <w:t>目标</w:t>
      </w:r>
      <w:r>
        <w:rPr>
          <w:rFonts w:hint="default" w:ascii="Times New Roman" w:hAnsi="Times New Roman" w:eastAsia="仿宋" w:cs="Times New Roman"/>
          <w:b/>
          <w:bCs/>
          <w:sz w:val="30"/>
          <w:szCs w:val="30"/>
        </w:rPr>
        <w:t>要求。</w:t>
      </w:r>
    </w:p>
    <w:p>
      <w:pPr>
        <w:spacing w:line="360" w:lineRule="auto"/>
        <w:ind w:firstLine="600" w:firstLineChars="200"/>
        <w:rPr>
          <w:rFonts w:hint="default" w:ascii="Times New Roman" w:hAnsi="Times New Roman" w:eastAsia="仿宋" w:cs="Times New Roman"/>
          <w:b/>
          <w:bCs/>
          <w:sz w:val="30"/>
          <w:szCs w:val="30"/>
        </w:rPr>
      </w:pPr>
      <w:r>
        <w:rPr>
          <w:rFonts w:hint="default" w:ascii="Times New Roman" w:hAnsi="Times New Roman" w:eastAsia="仿宋" w:cs="Times New Roman"/>
          <w:sz w:val="30"/>
          <w:szCs w:val="30"/>
        </w:rPr>
        <w:t>郑州市</w:t>
      </w:r>
      <w:r>
        <w:rPr>
          <w:rFonts w:hint="default" w:ascii="Times New Roman" w:hAnsi="Times New Roman" w:eastAsia="仿宋" w:cs="Times New Roman"/>
          <w:sz w:val="30"/>
          <w:szCs w:val="30"/>
          <w:lang w:eastAsia="zh-CN"/>
        </w:rPr>
        <w:t>2018</w:t>
      </w:r>
      <w:r>
        <w:rPr>
          <w:rFonts w:hint="default" w:ascii="Times New Roman" w:hAnsi="Times New Roman" w:eastAsia="仿宋" w:cs="Times New Roman"/>
          <w:sz w:val="30"/>
          <w:szCs w:val="30"/>
        </w:rPr>
        <w:t>年度省考核地表水功能区水质概况详见表</w:t>
      </w:r>
      <w:r>
        <w:rPr>
          <w:rFonts w:hint="eastAsia" w:eastAsia="仿宋" w:cs="Times New Roman"/>
          <w:sz w:val="30"/>
          <w:szCs w:val="30"/>
          <w:lang w:val="en-US" w:eastAsia="zh-CN"/>
        </w:rPr>
        <w:t>20</w:t>
      </w:r>
      <w:r>
        <w:rPr>
          <w:rFonts w:hint="default" w:ascii="Times New Roman" w:hAnsi="Times New Roman" w:eastAsia="仿宋" w:cs="Times New Roman"/>
          <w:sz w:val="30"/>
          <w:szCs w:val="30"/>
        </w:rPr>
        <w:t>。</w:t>
      </w:r>
    </w:p>
    <w:p>
      <w:pPr>
        <w:pStyle w:val="2"/>
        <w:rPr>
          <w:rFonts w:hint="default"/>
        </w:rPr>
        <w:sectPr>
          <w:footerReference r:id="rId12" w:type="default"/>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pPr>
    </w:p>
    <w:p>
      <w:pPr>
        <w:jc w:val="center"/>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表</w:t>
      </w:r>
      <w:r>
        <w:rPr>
          <w:rFonts w:hint="eastAsia" w:eastAsia="黑体" w:cs="Times New Roman"/>
          <w:color w:val="auto"/>
          <w:sz w:val="28"/>
          <w:szCs w:val="28"/>
          <w:lang w:val="en-US" w:eastAsia="zh-CN"/>
        </w:rPr>
        <w:t>17</w:t>
      </w:r>
      <w:r>
        <w:rPr>
          <w:rFonts w:hint="default" w:ascii="Times New Roman" w:hAnsi="Times New Roman" w:eastAsia="黑体" w:cs="Times New Roman"/>
          <w:color w:val="auto"/>
          <w:sz w:val="28"/>
          <w:szCs w:val="28"/>
        </w:rPr>
        <w:t xml:space="preserve">  2018年郑州市水功能区水质</w:t>
      </w:r>
      <w:r>
        <w:rPr>
          <w:rFonts w:hint="eastAsia" w:eastAsia="黑体" w:cs="Times New Roman"/>
          <w:color w:val="auto"/>
          <w:sz w:val="28"/>
          <w:szCs w:val="28"/>
          <w:lang w:val="en-US" w:eastAsia="zh-CN"/>
        </w:rPr>
        <w:t>评价成果</w:t>
      </w:r>
      <w:r>
        <w:rPr>
          <w:rFonts w:hint="default" w:ascii="Times New Roman" w:hAnsi="Times New Roman" w:eastAsia="黑体" w:cs="Times New Roman"/>
          <w:color w:val="auto"/>
          <w:sz w:val="28"/>
          <w:szCs w:val="28"/>
        </w:rPr>
        <w:t>汇总表（全因子评价）</w:t>
      </w:r>
    </w:p>
    <w:tbl>
      <w:tblPr>
        <w:tblStyle w:val="23"/>
        <w:tblW w:w="13974" w:type="dxa"/>
        <w:jc w:val="center"/>
        <w:tblInd w:w="0" w:type="dxa"/>
        <w:shd w:val="clear" w:color="auto" w:fill="auto"/>
        <w:tblLayout w:type="fixed"/>
        <w:tblCellMar>
          <w:top w:w="0" w:type="dxa"/>
          <w:left w:w="0" w:type="dxa"/>
          <w:bottom w:w="0" w:type="dxa"/>
          <w:right w:w="0" w:type="dxa"/>
        </w:tblCellMar>
      </w:tblPr>
      <w:tblGrid>
        <w:gridCol w:w="525"/>
        <w:gridCol w:w="2649"/>
        <w:gridCol w:w="1017"/>
        <w:gridCol w:w="727"/>
        <w:gridCol w:w="727"/>
        <w:gridCol w:w="726"/>
        <w:gridCol w:w="727"/>
        <w:gridCol w:w="727"/>
        <w:gridCol w:w="726"/>
        <w:gridCol w:w="727"/>
        <w:gridCol w:w="727"/>
        <w:gridCol w:w="726"/>
        <w:gridCol w:w="727"/>
        <w:gridCol w:w="727"/>
        <w:gridCol w:w="726"/>
        <w:gridCol w:w="1063"/>
      </w:tblGrid>
      <w:tr>
        <w:tblPrEx>
          <w:shd w:val="clear" w:color="auto" w:fill="auto"/>
          <w:tblLayout w:type="fixed"/>
          <w:tblCellMar>
            <w:top w:w="0" w:type="dxa"/>
            <w:left w:w="0" w:type="dxa"/>
            <w:bottom w:w="0" w:type="dxa"/>
            <w:right w:w="0" w:type="dxa"/>
          </w:tblCellMar>
        </w:tblPrEx>
        <w:trPr>
          <w:trHeight w:val="312" w:hRule="atLeast"/>
          <w:jc w:val="center"/>
        </w:trPr>
        <w:tc>
          <w:tcPr>
            <w:tcW w:w="525" w:type="dxa"/>
            <w:tcBorders>
              <w:top w:val="single" w:color="auto" w:sz="12" w:space="0"/>
              <w:left w:val="nil"/>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序号</w:t>
            </w:r>
          </w:p>
        </w:tc>
        <w:tc>
          <w:tcPr>
            <w:tcW w:w="2649"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断面名称</w:t>
            </w:r>
          </w:p>
        </w:tc>
        <w:tc>
          <w:tcPr>
            <w:tcW w:w="101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水质目标</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2</w:t>
            </w:r>
            <w:r>
              <w:rPr>
                <w:rStyle w:val="56"/>
                <w:rFonts w:hint="default" w:ascii="Times New Roman" w:hAnsi="Times New Roman" w:eastAsia="仿宋" w:cs="Times New Roman"/>
                <w:color w:val="auto"/>
                <w:sz w:val="21"/>
                <w:szCs w:val="21"/>
                <w:lang w:val="en-US" w:eastAsia="zh-CN" w:bidi="ar"/>
              </w:rPr>
              <w:t>月</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3</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4</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5</w:t>
            </w:r>
            <w:r>
              <w:rPr>
                <w:rStyle w:val="56"/>
                <w:rFonts w:hint="default" w:ascii="Times New Roman" w:hAnsi="Times New Roman" w:eastAsia="仿宋" w:cs="Times New Roman"/>
                <w:color w:val="auto"/>
                <w:sz w:val="21"/>
                <w:szCs w:val="21"/>
                <w:lang w:val="en-US" w:eastAsia="zh-CN" w:bidi="ar"/>
              </w:rPr>
              <w:t>月</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6</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7</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8</w:t>
            </w:r>
            <w:r>
              <w:rPr>
                <w:rStyle w:val="56"/>
                <w:rFonts w:hint="default" w:ascii="Times New Roman" w:hAnsi="Times New Roman" w:eastAsia="仿宋" w:cs="Times New Roman"/>
                <w:color w:val="auto"/>
                <w:sz w:val="21"/>
                <w:szCs w:val="21"/>
                <w:lang w:val="en-US" w:eastAsia="zh-CN" w:bidi="ar"/>
              </w:rPr>
              <w:t>月</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9</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10</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11</w:t>
            </w:r>
            <w:r>
              <w:rPr>
                <w:rStyle w:val="56"/>
                <w:rFonts w:hint="default" w:ascii="Times New Roman" w:hAnsi="Times New Roman" w:eastAsia="仿宋" w:cs="Times New Roman"/>
                <w:color w:val="auto"/>
                <w:sz w:val="21"/>
                <w:szCs w:val="21"/>
                <w:lang w:val="en-US" w:eastAsia="zh-CN" w:bidi="ar"/>
              </w:rPr>
              <w:t>页</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12</w:t>
            </w:r>
            <w:r>
              <w:rPr>
                <w:rStyle w:val="56"/>
                <w:rFonts w:hint="default" w:ascii="Times New Roman" w:hAnsi="Times New Roman" w:eastAsia="仿宋" w:cs="Times New Roman"/>
                <w:color w:val="auto"/>
                <w:sz w:val="21"/>
                <w:szCs w:val="21"/>
                <w:lang w:val="en-US" w:eastAsia="zh-CN" w:bidi="ar"/>
              </w:rPr>
              <w:t>月</w:t>
            </w:r>
          </w:p>
        </w:tc>
        <w:tc>
          <w:tcPr>
            <w:tcW w:w="1063" w:type="dxa"/>
            <w:tcBorders>
              <w:top w:val="single" w:color="auto" w:sz="12" w:space="0"/>
              <w:left w:val="single" w:color="000000" w:sz="4" w:space="0"/>
              <w:bottom w:val="single" w:color="auto" w:sz="12"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年达标率</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auto" w:sz="12"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w:t>
            </w:r>
          </w:p>
        </w:tc>
        <w:tc>
          <w:tcPr>
            <w:tcW w:w="2649"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大金店</w:t>
            </w:r>
          </w:p>
        </w:tc>
        <w:tc>
          <w:tcPr>
            <w:tcW w:w="101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auto" w:sz="12"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67%</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告成水文站</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3</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蒋庄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8%</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4</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白沙水库（库心）</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5</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告成曲河</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58%</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6</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李湾水库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8%</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7</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大隗镇南公路桥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55%</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8</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双洎河新密新郑交界处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50%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9</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107国道上500米</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67%</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10</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京广铁路桥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83%</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11</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双洎河新郑长葛交界处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75%</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12</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周庄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75%</w:t>
            </w:r>
          </w:p>
        </w:tc>
      </w:tr>
      <w:tr>
        <w:tblPrEx>
          <w:shd w:val="clear" w:color="auto" w:fill="auto"/>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13</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增福庙乡公路桥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14</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丁店水库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15</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河王水库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16</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楚楼水库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17</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索须河纪公庙桥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18</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索须河入贾鲁河口</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50%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19</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大吴公路桥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100%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20</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陇海铁路桥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100%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21</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后曹闸</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100%</w:t>
            </w:r>
          </w:p>
        </w:tc>
      </w:tr>
      <w:tr>
        <w:tblPrEx>
          <w:shd w:val="clear" w:color="auto" w:fill="auto"/>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22</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中牟水文站</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100%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23</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新107贾鲁河桥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67%</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24</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东风渠入贾鲁河口</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100%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25</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尖岗水库（库心）</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17%</w:t>
            </w:r>
          </w:p>
        </w:tc>
      </w:tr>
      <w:tr>
        <w:tblPrEx>
          <w:shd w:val="clear" w:color="auto" w:fill="auto"/>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26</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中州大道桥下</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25%</w:t>
            </w:r>
          </w:p>
        </w:tc>
      </w:tr>
      <w:tr>
        <w:tblPrEx>
          <w:tblLayout w:type="fixed"/>
          <w:tblCellMar>
            <w:top w:w="0" w:type="dxa"/>
            <w:left w:w="0" w:type="dxa"/>
            <w:bottom w:w="0" w:type="dxa"/>
            <w:right w:w="0" w:type="dxa"/>
          </w:tblCellMar>
        </w:tblPrEx>
        <w:trPr>
          <w:trHeight w:val="163" w:hRule="atLeast"/>
          <w:jc w:val="center"/>
        </w:trPr>
        <w:tc>
          <w:tcPr>
            <w:tcW w:w="525" w:type="dxa"/>
            <w:tcBorders>
              <w:top w:val="single" w:color="000000" w:sz="4" w:space="0"/>
              <w:left w:val="nil"/>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27</w:t>
            </w:r>
          </w:p>
        </w:tc>
        <w:tc>
          <w:tcPr>
            <w:tcW w:w="2649"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常庄水库</w:t>
            </w:r>
          </w:p>
        </w:tc>
        <w:tc>
          <w:tcPr>
            <w:tcW w:w="101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Ⅱ/Ⅲ</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0"/>
                <w:szCs w:val="20"/>
                <w:u w:val="none"/>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auto" w:sz="12"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17%</w:t>
            </w:r>
          </w:p>
        </w:tc>
      </w:tr>
    </w:tbl>
    <w:p>
      <w:pPr>
        <w:rPr>
          <w:rFonts w:hint="default"/>
        </w:rPr>
      </w:pPr>
    </w:p>
    <w:p>
      <w:pPr>
        <w:jc w:val="center"/>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表</w:t>
      </w:r>
      <w:r>
        <w:rPr>
          <w:rFonts w:hint="eastAsia" w:eastAsia="黑体" w:cs="Times New Roman"/>
          <w:color w:val="auto"/>
          <w:sz w:val="28"/>
          <w:szCs w:val="28"/>
          <w:lang w:val="en-US" w:eastAsia="zh-CN"/>
        </w:rPr>
        <w:t>18</w:t>
      </w:r>
      <w:r>
        <w:rPr>
          <w:rFonts w:hint="default" w:ascii="Times New Roman" w:hAnsi="Times New Roman" w:eastAsia="黑体" w:cs="Times New Roman"/>
          <w:color w:val="auto"/>
          <w:sz w:val="28"/>
          <w:szCs w:val="28"/>
        </w:rPr>
        <w:t xml:space="preserve">  2018年郑州市水功能区水质</w:t>
      </w:r>
      <w:r>
        <w:rPr>
          <w:rFonts w:hint="eastAsia" w:eastAsia="黑体" w:cs="Times New Roman"/>
          <w:color w:val="auto"/>
          <w:sz w:val="28"/>
          <w:szCs w:val="28"/>
          <w:lang w:val="en-US" w:eastAsia="zh-CN"/>
        </w:rPr>
        <w:t>评价成果</w:t>
      </w:r>
      <w:r>
        <w:rPr>
          <w:rFonts w:hint="default" w:ascii="Times New Roman" w:hAnsi="Times New Roman" w:eastAsia="黑体" w:cs="Times New Roman"/>
          <w:color w:val="auto"/>
          <w:sz w:val="28"/>
          <w:szCs w:val="28"/>
        </w:rPr>
        <w:t>汇总表（全因子评价）</w:t>
      </w:r>
    </w:p>
    <w:tbl>
      <w:tblPr>
        <w:tblStyle w:val="23"/>
        <w:tblW w:w="13974" w:type="dxa"/>
        <w:jc w:val="center"/>
        <w:tblInd w:w="0" w:type="dxa"/>
        <w:shd w:val="clear" w:color="auto" w:fill="auto"/>
        <w:tblLayout w:type="fixed"/>
        <w:tblCellMar>
          <w:top w:w="0" w:type="dxa"/>
          <w:left w:w="0" w:type="dxa"/>
          <w:bottom w:w="0" w:type="dxa"/>
          <w:right w:w="0" w:type="dxa"/>
        </w:tblCellMar>
      </w:tblPr>
      <w:tblGrid>
        <w:gridCol w:w="525"/>
        <w:gridCol w:w="2649"/>
        <w:gridCol w:w="1017"/>
        <w:gridCol w:w="727"/>
        <w:gridCol w:w="727"/>
        <w:gridCol w:w="726"/>
        <w:gridCol w:w="727"/>
        <w:gridCol w:w="727"/>
        <w:gridCol w:w="726"/>
        <w:gridCol w:w="727"/>
        <w:gridCol w:w="727"/>
        <w:gridCol w:w="726"/>
        <w:gridCol w:w="727"/>
        <w:gridCol w:w="727"/>
        <w:gridCol w:w="726"/>
        <w:gridCol w:w="1063"/>
      </w:tblGrid>
      <w:tr>
        <w:tblPrEx>
          <w:tblLayout w:type="fixed"/>
          <w:tblCellMar>
            <w:top w:w="0" w:type="dxa"/>
            <w:left w:w="0" w:type="dxa"/>
            <w:bottom w:w="0" w:type="dxa"/>
            <w:right w:w="0" w:type="dxa"/>
          </w:tblCellMar>
        </w:tblPrEx>
        <w:trPr>
          <w:trHeight w:val="312" w:hRule="atLeast"/>
          <w:jc w:val="center"/>
        </w:trPr>
        <w:tc>
          <w:tcPr>
            <w:tcW w:w="525" w:type="dxa"/>
            <w:tcBorders>
              <w:top w:val="single" w:color="auto" w:sz="12" w:space="0"/>
              <w:left w:val="nil"/>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序号</w:t>
            </w:r>
          </w:p>
        </w:tc>
        <w:tc>
          <w:tcPr>
            <w:tcW w:w="2649"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断面名称</w:t>
            </w:r>
          </w:p>
        </w:tc>
        <w:tc>
          <w:tcPr>
            <w:tcW w:w="101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水质目标</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2</w:t>
            </w:r>
            <w:r>
              <w:rPr>
                <w:rStyle w:val="56"/>
                <w:rFonts w:hint="default" w:ascii="Times New Roman" w:hAnsi="Times New Roman" w:eastAsia="仿宋" w:cs="Times New Roman"/>
                <w:color w:val="auto"/>
                <w:sz w:val="21"/>
                <w:szCs w:val="21"/>
                <w:lang w:val="en-US" w:eastAsia="zh-CN" w:bidi="ar"/>
              </w:rPr>
              <w:t>月</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3</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4</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5</w:t>
            </w:r>
            <w:r>
              <w:rPr>
                <w:rStyle w:val="56"/>
                <w:rFonts w:hint="default" w:ascii="Times New Roman" w:hAnsi="Times New Roman" w:eastAsia="仿宋" w:cs="Times New Roman"/>
                <w:color w:val="auto"/>
                <w:sz w:val="21"/>
                <w:szCs w:val="21"/>
                <w:lang w:val="en-US" w:eastAsia="zh-CN" w:bidi="ar"/>
              </w:rPr>
              <w:t>月</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6</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7</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8</w:t>
            </w:r>
            <w:r>
              <w:rPr>
                <w:rStyle w:val="56"/>
                <w:rFonts w:hint="default" w:ascii="Times New Roman" w:hAnsi="Times New Roman" w:eastAsia="仿宋" w:cs="Times New Roman"/>
                <w:color w:val="auto"/>
                <w:sz w:val="21"/>
                <w:szCs w:val="21"/>
                <w:lang w:val="en-US" w:eastAsia="zh-CN" w:bidi="ar"/>
              </w:rPr>
              <w:t>月</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9</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10</w:t>
            </w:r>
            <w:r>
              <w:rPr>
                <w:rStyle w:val="56"/>
                <w:rFonts w:hint="default" w:ascii="Times New Roman" w:hAnsi="Times New Roman" w:eastAsia="仿宋" w:cs="Times New Roman"/>
                <w:color w:val="auto"/>
                <w:sz w:val="21"/>
                <w:szCs w:val="21"/>
                <w:lang w:val="en-US" w:eastAsia="zh-CN" w:bidi="ar"/>
              </w:rPr>
              <w:t>月</w:t>
            </w:r>
          </w:p>
        </w:tc>
        <w:tc>
          <w:tcPr>
            <w:tcW w:w="727"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11</w:t>
            </w:r>
            <w:r>
              <w:rPr>
                <w:rStyle w:val="56"/>
                <w:rFonts w:hint="default" w:ascii="Times New Roman" w:hAnsi="Times New Roman" w:eastAsia="仿宋" w:cs="Times New Roman"/>
                <w:color w:val="auto"/>
                <w:sz w:val="21"/>
                <w:szCs w:val="21"/>
                <w:lang w:val="en-US" w:eastAsia="zh-CN" w:bidi="ar"/>
              </w:rPr>
              <w:t>页</w:t>
            </w:r>
          </w:p>
        </w:tc>
        <w:tc>
          <w:tcPr>
            <w:tcW w:w="726" w:type="dxa"/>
            <w:tcBorders>
              <w:top w:val="single" w:color="auto" w:sz="12"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Style w:val="55"/>
                <w:rFonts w:hint="default" w:ascii="Times New Roman" w:hAnsi="Times New Roman" w:eastAsia="仿宋" w:cs="Times New Roman"/>
                <w:color w:val="auto"/>
                <w:sz w:val="21"/>
                <w:szCs w:val="21"/>
                <w:lang w:val="en-US" w:eastAsia="zh-CN" w:bidi="ar"/>
              </w:rPr>
              <w:t>12</w:t>
            </w:r>
            <w:r>
              <w:rPr>
                <w:rStyle w:val="56"/>
                <w:rFonts w:hint="default" w:ascii="Times New Roman" w:hAnsi="Times New Roman" w:eastAsia="仿宋" w:cs="Times New Roman"/>
                <w:color w:val="auto"/>
                <w:sz w:val="21"/>
                <w:szCs w:val="21"/>
                <w:lang w:val="en-US" w:eastAsia="zh-CN" w:bidi="ar"/>
              </w:rPr>
              <w:t>月</w:t>
            </w:r>
          </w:p>
        </w:tc>
        <w:tc>
          <w:tcPr>
            <w:tcW w:w="1063" w:type="dxa"/>
            <w:tcBorders>
              <w:top w:val="single" w:color="auto" w:sz="12" w:space="0"/>
              <w:left w:val="single" w:color="000000" w:sz="4" w:space="0"/>
              <w:bottom w:val="single" w:color="auto" w:sz="12"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bidi="ar"/>
              </w:rPr>
              <w:t>年达标率</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auto" w:sz="12"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w:t>
            </w:r>
          </w:p>
        </w:tc>
        <w:tc>
          <w:tcPr>
            <w:tcW w:w="2649"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大金店</w:t>
            </w:r>
          </w:p>
        </w:tc>
        <w:tc>
          <w:tcPr>
            <w:tcW w:w="101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Ⅰ</w:t>
            </w:r>
          </w:p>
        </w:tc>
        <w:tc>
          <w:tcPr>
            <w:tcW w:w="726" w:type="dxa"/>
            <w:tcBorders>
              <w:top w:val="single" w:color="auto"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Ⅰ</w:t>
            </w:r>
          </w:p>
        </w:tc>
        <w:tc>
          <w:tcPr>
            <w:tcW w:w="1063" w:type="dxa"/>
            <w:tcBorders>
              <w:top w:val="single" w:color="auto" w:sz="12"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shd w:val="clear" w:color="auto" w:fill="auto"/>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告成水文站</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33%</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3</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蒋庄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42%</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4</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白沙水库（库心）</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92%</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5</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告成曲河</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67%</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6</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李湾水库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92%</w:t>
            </w:r>
          </w:p>
        </w:tc>
      </w:tr>
      <w:tr>
        <w:tblPrEx>
          <w:shd w:val="clear" w:color="auto" w:fill="auto"/>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7</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大隗镇南公路桥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73%</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8</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双洎河新密新郑交界处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67%</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107国道上500米</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83%</w:t>
            </w:r>
          </w:p>
        </w:tc>
      </w:tr>
      <w:tr>
        <w:tblPrEx>
          <w:shd w:val="clear" w:color="auto" w:fill="auto"/>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京广铁路桥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83%</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11</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双洎河新郑长葛交界处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92%</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12</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周庄</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92%</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13</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增福庙乡公路桥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14</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丁店水库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92%</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15</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河王水库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92%</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16</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楚楼水库</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25%</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17</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索须河纪公庙桥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18</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索须河入贾鲁河口</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75%</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19</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大吴公路桥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shd w:val="clear" w:color="auto" w:fill="auto"/>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20</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陇海铁路桥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21</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后曹闸</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shd w:val="clear" w:color="auto" w:fill="auto"/>
          <w:tblLayout w:type="fixed"/>
          <w:tblCellMar>
            <w:top w:w="0" w:type="dxa"/>
            <w:left w:w="0" w:type="dxa"/>
            <w:bottom w:w="0" w:type="dxa"/>
            <w:right w:w="0" w:type="dxa"/>
          </w:tblCellMar>
        </w:tblPrEx>
        <w:trPr>
          <w:trHeight w:val="158"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22</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中牟水文站</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23</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新107贾鲁河桥</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24</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东风渠入贾鲁河口</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Ⅳ</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25</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尖岗水库（库心）</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Ⅰ</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Ⅰ</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Ⅰ</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100%</w:t>
            </w:r>
          </w:p>
        </w:tc>
      </w:tr>
      <w:tr>
        <w:tblPrEx>
          <w:tblLayout w:type="fixed"/>
          <w:tblCellMar>
            <w:top w:w="0" w:type="dxa"/>
            <w:left w:w="0" w:type="dxa"/>
            <w:bottom w:w="0" w:type="dxa"/>
            <w:right w:w="0" w:type="dxa"/>
          </w:tblCellMar>
        </w:tblPrEx>
        <w:trPr>
          <w:trHeight w:val="257" w:hRule="atLeast"/>
          <w:jc w:val="center"/>
        </w:trPr>
        <w:tc>
          <w:tcPr>
            <w:tcW w:w="5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26</w:t>
            </w:r>
          </w:p>
        </w:tc>
        <w:tc>
          <w:tcPr>
            <w:tcW w:w="26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中州大道桥下</w:t>
            </w:r>
          </w:p>
        </w:tc>
        <w:tc>
          <w:tcPr>
            <w:tcW w:w="1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劣Ⅴ</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Ⅰ</w:t>
            </w:r>
          </w:p>
        </w:tc>
        <w:tc>
          <w:tcPr>
            <w:tcW w:w="10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83%</w:t>
            </w:r>
          </w:p>
        </w:tc>
      </w:tr>
      <w:tr>
        <w:tblPrEx>
          <w:tblLayout w:type="fixed"/>
          <w:tblCellMar>
            <w:top w:w="0" w:type="dxa"/>
            <w:left w:w="0" w:type="dxa"/>
            <w:bottom w:w="0" w:type="dxa"/>
            <w:right w:w="0" w:type="dxa"/>
          </w:tblCellMar>
        </w:tblPrEx>
        <w:trPr>
          <w:trHeight w:val="163" w:hRule="atLeast"/>
          <w:jc w:val="center"/>
        </w:trPr>
        <w:tc>
          <w:tcPr>
            <w:tcW w:w="525" w:type="dxa"/>
            <w:tcBorders>
              <w:top w:val="single" w:color="000000" w:sz="4" w:space="0"/>
              <w:left w:val="nil"/>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27</w:t>
            </w:r>
          </w:p>
        </w:tc>
        <w:tc>
          <w:tcPr>
            <w:tcW w:w="2649"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常庄水库</w:t>
            </w:r>
          </w:p>
        </w:tc>
        <w:tc>
          <w:tcPr>
            <w:tcW w:w="101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Ⅱ/Ⅲ</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Ⅲ</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Ⅰ</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7"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726" w:type="dxa"/>
            <w:tcBorders>
              <w:top w:val="single" w:color="000000" w:sz="4" w:space="0"/>
              <w:left w:val="single" w:color="000000" w:sz="4" w:space="0"/>
              <w:bottom w:val="single" w:color="auto" w:sz="12"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0"/>
                <w:szCs w:val="20"/>
                <w:u w:val="none"/>
                <w:lang w:val="en-US" w:eastAsia="zh-CN" w:bidi="ar"/>
              </w:rPr>
            </w:pPr>
            <w:r>
              <w:rPr>
                <w:rFonts w:hint="default" w:ascii="Times New Roman" w:hAnsi="Times New Roman" w:eastAsia="仿宋" w:cs="Times New Roman"/>
                <w:i w:val="0"/>
                <w:color w:val="auto"/>
                <w:kern w:val="0"/>
                <w:sz w:val="20"/>
                <w:szCs w:val="20"/>
                <w:u w:val="none"/>
                <w:lang w:val="en-US" w:eastAsia="zh-CN" w:bidi="ar"/>
              </w:rPr>
              <w:t>Ⅱ</w:t>
            </w:r>
          </w:p>
        </w:tc>
        <w:tc>
          <w:tcPr>
            <w:tcW w:w="1063" w:type="dxa"/>
            <w:tcBorders>
              <w:top w:val="single" w:color="000000" w:sz="4" w:space="0"/>
              <w:left w:val="single" w:color="000000" w:sz="4" w:space="0"/>
              <w:bottom w:val="single" w:color="auto" w:sz="12"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83%</w:t>
            </w:r>
          </w:p>
        </w:tc>
      </w:tr>
    </w:tbl>
    <w:p>
      <w:pPr>
        <w:rPr>
          <w:rFonts w:hint="default"/>
        </w:rPr>
      </w:pPr>
    </w:p>
    <w:p>
      <w:pPr>
        <w:rPr>
          <w:rFonts w:hint="default"/>
        </w:rPr>
        <w:sectPr>
          <w:pgSz w:w="16838" w:h="11906" w:orient="landscape"/>
          <w:pgMar w:top="1247" w:right="1418" w:bottom="1247" w:left="1418" w:header="851" w:footer="992" w:gutter="0"/>
          <w:pgBorders>
            <w:top w:val="none" w:sz="0" w:space="0"/>
            <w:left w:val="none" w:sz="0" w:space="0"/>
            <w:bottom w:val="none" w:sz="0" w:space="0"/>
            <w:right w:val="none" w:sz="0" w:space="0"/>
          </w:pgBorders>
          <w:cols w:space="425" w:num="1"/>
          <w:docGrid w:linePitch="312" w:charSpace="0"/>
        </w:sectPr>
      </w:pPr>
    </w:p>
    <w:p>
      <w:pPr>
        <w:bidi w:val="0"/>
        <w:rPr>
          <w:rFonts w:hint="default"/>
          <w:lang w:eastAsia="zh-CN"/>
        </w:rPr>
      </w:pPr>
    </w:p>
    <w:p>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2018</w:t>
      </w:r>
      <w:r>
        <w:rPr>
          <w:rFonts w:hint="default" w:ascii="Times New Roman" w:hAnsi="Times New Roman" w:eastAsia="黑体" w:cs="Times New Roman"/>
          <w:sz w:val="28"/>
          <w:szCs w:val="28"/>
        </w:rPr>
        <w:t>年郑州市省考核地表水功能区水质达标状况</w:t>
      </w:r>
    </w:p>
    <w:p>
      <w:pPr>
        <w:widowControl/>
        <w:ind w:firstLine="480" w:firstLineChars="200"/>
        <w:jc w:val="left"/>
        <w:rPr>
          <w:rFonts w:hint="eastAsia" w:ascii="Times New Roman" w:hAnsi="Times New Roman" w:eastAsia="黑体" w:cs="Times New Roman"/>
          <w:kern w:val="0"/>
          <w:sz w:val="24"/>
          <w:lang w:eastAsia="zh-CN"/>
        </w:rPr>
      </w:pPr>
      <w:r>
        <w:rPr>
          <w:rFonts w:hint="default" w:ascii="Times New Roman" w:hAnsi="Times New Roman" w:eastAsia="黑体" w:cs="Times New Roman"/>
          <w:sz w:val="24"/>
        </w:rPr>
        <w:t>表1</w:t>
      </w:r>
      <w:r>
        <w:rPr>
          <w:rFonts w:hint="eastAsia" w:eastAsia="黑体" w:cs="Times New Roman"/>
          <w:sz w:val="24"/>
          <w:lang w:val="en-US" w:eastAsia="zh-CN"/>
        </w:rPr>
        <w:t>8</w:t>
      </w:r>
    </w:p>
    <w:tbl>
      <w:tblPr>
        <w:tblStyle w:val="24"/>
        <w:tblW w:w="137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776"/>
        <w:gridCol w:w="1929"/>
        <w:gridCol w:w="2014"/>
        <w:gridCol w:w="1207"/>
        <w:gridCol w:w="1242"/>
        <w:gridCol w:w="1225"/>
        <w:gridCol w:w="1514"/>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981" w:type="dxa"/>
            <w:vMerge w:val="restart"/>
            <w:tcBorders>
              <w:top w:val="single" w:color="auto" w:sz="12" w:space="0"/>
              <w:left w:val="nil"/>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序号</w:t>
            </w:r>
          </w:p>
        </w:tc>
        <w:tc>
          <w:tcPr>
            <w:tcW w:w="1776" w:type="dxa"/>
            <w:vMerge w:val="restart"/>
            <w:tcBorders>
              <w:top w:val="single" w:color="auto" w:sz="12" w:space="0"/>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一级水功能区名称</w:t>
            </w:r>
          </w:p>
        </w:tc>
        <w:tc>
          <w:tcPr>
            <w:tcW w:w="1929" w:type="dxa"/>
            <w:vMerge w:val="restart"/>
            <w:tcBorders>
              <w:top w:val="single" w:color="auto" w:sz="12" w:space="0"/>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二级水功能区</w:t>
            </w:r>
          </w:p>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名称</w:t>
            </w:r>
          </w:p>
        </w:tc>
        <w:tc>
          <w:tcPr>
            <w:tcW w:w="2014" w:type="dxa"/>
            <w:vMerge w:val="restart"/>
            <w:tcBorders>
              <w:top w:val="single" w:color="auto" w:sz="12" w:space="0"/>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监测断面</w:t>
            </w:r>
          </w:p>
        </w:tc>
        <w:tc>
          <w:tcPr>
            <w:tcW w:w="5188" w:type="dxa"/>
            <w:gridSpan w:val="4"/>
            <w:tcBorders>
              <w:top w:val="single" w:color="auto" w:sz="12" w:space="0"/>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达标情况（以控制项目计）</w:t>
            </w:r>
          </w:p>
        </w:tc>
        <w:tc>
          <w:tcPr>
            <w:tcW w:w="1865" w:type="dxa"/>
            <w:vMerge w:val="restart"/>
            <w:tcBorders>
              <w:top w:val="single" w:color="auto" w:sz="12" w:space="0"/>
              <w:right w:val="nil"/>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vMerge w:val="continue"/>
            <w:tcBorders>
              <w:left w:val="nil"/>
              <w:bottom w:val="single" w:color="auto" w:sz="12" w:space="0"/>
            </w:tcBorders>
            <w:vAlign w:val="center"/>
          </w:tcPr>
          <w:p>
            <w:pPr>
              <w:jc w:val="center"/>
              <w:rPr>
                <w:rFonts w:hint="default" w:ascii="Times New Roman" w:hAnsi="Times New Roman" w:eastAsia="仿宋" w:cs="Times New Roman"/>
                <w:sz w:val="24"/>
                <w:szCs w:val="24"/>
              </w:rPr>
            </w:pPr>
          </w:p>
        </w:tc>
        <w:tc>
          <w:tcPr>
            <w:tcW w:w="1776" w:type="dxa"/>
            <w:vMerge w:val="continue"/>
            <w:tcBorders>
              <w:bottom w:val="single" w:color="auto" w:sz="12" w:space="0"/>
            </w:tcBorders>
            <w:vAlign w:val="center"/>
          </w:tcPr>
          <w:p>
            <w:pPr>
              <w:jc w:val="center"/>
              <w:rPr>
                <w:rFonts w:hint="default" w:ascii="Times New Roman" w:hAnsi="Times New Roman" w:eastAsia="仿宋" w:cs="Times New Roman"/>
                <w:sz w:val="24"/>
                <w:szCs w:val="24"/>
              </w:rPr>
            </w:pPr>
          </w:p>
        </w:tc>
        <w:tc>
          <w:tcPr>
            <w:tcW w:w="1929" w:type="dxa"/>
            <w:vMerge w:val="continue"/>
            <w:tcBorders>
              <w:bottom w:val="single" w:color="auto" w:sz="12" w:space="0"/>
            </w:tcBorders>
            <w:vAlign w:val="center"/>
          </w:tcPr>
          <w:p>
            <w:pPr>
              <w:jc w:val="center"/>
              <w:rPr>
                <w:rFonts w:hint="default" w:ascii="Times New Roman" w:hAnsi="Times New Roman" w:eastAsia="仿宋" w:cs="Times New Roman"/>
                <w:sz w:val="24"/>
                <w:szCs w:val="24"/>
              </w:rPr>
            </w:pPr>
          </w:p>
        </w:tc>
        <w:tc>
          <w:tcPr>
            <w:tcW w:w="2014" w:type="dxa"/>
            <w:vMerge w:val="continue"/>
            <w:tcBorders>
              <w:bottom w:val="single" w:color="auto" w:sz="12" w:space="0"/>
            </w:tcBorders>
            <w:vAlign w:val="center"/>
          </w:tcPr>
          <w:p>
            <w:pPr>
              <w:jc w:val="center"/>
              <w:rPr>
                <w:rFonts w:hint="default" w:ascii="Times New Roman" w:hAnsi="Times New Roman" w:eastAsia="仿宋" w:cs="Times New Roman"/>
                <w:sz w:val="24"/>
                <w:szCs w:val="24"/>
              </w:rPr>
            </w:pPr>
          </w:p>
        </w:tc>
        <w:tc>
          <w:tcPr>
            <w:tcW w:w="1207" w:type="dxa"/>
            <w:tcBorders>
              <w:bottom w:val="single" w:color="auto" w:sz="12" w:space="0"/>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监测频次（次）</w:t>
            </w:r>
          </w:p>
        </w:tc>
        <w:tc>
          <w:tcPr>
            <w:tcW w:w="1242" w:type="dxa"/>
            <w:tcBorders>
              <w:bottom w:val="single" w:color="auto" w:sz="12" w:space="0"/>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达标次数（次）</w:t>
            </w:r>
          </w:p>
        </w:tc>
        <w:tc>
          <w:tcPr>
            <w:tcW w:w="1225" w:type="dxa"/>
            <w:tcBorders>
              <w:bottom w:val="single" w:color="auto" w:sz="12" w:space="0"/>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达标率</w:t>
            </w:r>
          </w:p>
        </w:tc>
        <w:tc>
          <w:tcPr>
            <w:tcW w:w="1514" w:type="dxa"/>
            <w:tcBorders>
              <w:bottom w:val="single" w:color="auto" w:sz="12" w:space="0"/>
              <w:right w:val="nil"/>
            </w:tcBorders>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是否达标</w:t>
            </w:r>
          </w:p>
        </w:tc>
        <w:tc>
          <w:tcPr>
            <w:tcW w:w="1865" w:type="dxa"/>
            <w:vMerge w:val="continue"/>
            <w:tcBorders>
              <w:bottom w:val="single" w:color="auto" w:sz="12" w:space="0"/>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981" w:type="dxa"/>
            <w:tcBorders>
              <w:top w:val="single" w:color="auto" w:sz="12" w:space="0"/>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1776" w:type="dxa"/>
            <w:tcBorders>
              <w:top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颍河登封源头水保护区</w:t>
            </w:r>
          </w:p>
        </w:tc>
        <w:tc>
          <w:tcPr>
            <w:tcW w:w="1929" w:type="dxa"/>
            <w:tcBorders>
              <w:top w:val="single" w:color="auto" w:sz="12" w:space="0"/>
            </w:tcBorders>
            <w:vAlign w:val="center"/>
          </w:tcPr>
          <w:p>
            <w:pPr>
              <w:rPr>
                <w:rFonts w:hint="default" w:ascii="Times New Roman" w:hAnsi="Times New Roman" w:eastAsia="仿宋" w:cs="Times New Roman"/>
                <w:sz w:val="24"/>
                <w:szCs w:val="24"/>
              </w:rPr>
            </w:pPr>
          </w:p>
        </w:tc>
        <w:tc>
          <w:tcPr>
            <w:tcW w:w="2014" w:type="dxa"/>
            <w:tcBorders>
              <w:top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大金店</w:t>
            </w:r>
          </w:p>
        </w:tc>
        <w:tc>
          <w:tcPr>
            <w:tcW w:w="1207" w:type="dxa"/>
            <w:tcBorders>
              <w:top w:val="single" w:color="auto" w:sz="12"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tcBorders>
              <w:top w:val="single" w:color="auto" w:sz="12"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25" w:type="dxa"/>
            <w:tcBorders>
              <w:top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100%</w:t>
            </w:r>
          </w:p>
        </w:tc>
        <w:tc>
          <w:tcPr>
            <w:tcW w:w="1514" w:type="dxa"/>
            <w:tcBorders>
              <w:top w:val="single" w:color="auto" w:sz="12"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top w:val="single" w:color="auto" w:sz="12" w:space="0"/>
              <w:right w:val="nil"/>
            </w:tcBorders>
            <w:vAlign w:val="center"/>
          </w:tcPr>
          <w:p>
            <w:pPr>
              <w:jc w:val="left"/>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颍河许昌开发利用区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颍河登封工业用水区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告成水文站</w:t>
            </w:r>
          </w:p>
        </w:tc>
        <w:tc>
          <w:tcPr>
            <w:tcW w:w="1207"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4</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33%</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否</w:t>
            </w:r>
          </w:p>
        </w:tc>
        <w:tc>
          <w:tcPr>
            <w:tcW w:w="1865" w:type="dxa"/>
            <w:tcBorders>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颍河许昌开发利用区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颍河登封过渡区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蒋庄</w:t>
            </w:r>
          </w:p>
        </w:tc>
        <w:tc>
          <w:tcPr>
            <w:tcW w:w="1207"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6</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50%</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否</w:t>
            </w:r>
          </w:p>
        </w:tc>
        <w:tc>
          <w:tcPr>
            <w:tcW w:w="1865" w:type="dxa"/>
            <w:tcBorders>
              <w:right w:val="nil"/>
            </w:tcBorders>
            <w:vAlign w:val="center"/>
          </w:tcPr>
          <w:p>
            <w:pPr>
              <w:keepNext w:val="0"/>
              <w:keepLines w:val="0"/>
              <w:widowControl/>
              <w:suppressLineNumbers w:val="0"/>
              <w:jc w:val="left"/>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7月断流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颍河许昌开发利用区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颍河白沙水库景观娱乐用水区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白沙水库</w:t>
            </w:r>
          </w:p>
        </w:tc>
        <w:tc>
          <w:tcPr>
            <w:tcW w:w="1207"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11</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92%</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清潩河许昌开发利用区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清潩河新郑、长葛农业用水区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增福庙乡公路桥</w:t>
            </w:r>
          </w:p>
        </w:tc>
        <w:tc>
          <w:tcPr>
            <w:tcW w:w="1207"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p>
        </w:tc>
        <w:tc>
          <w:tcPr>
            <w:tcW w:w="1514" w:type="dxa"/>
            <w:tcBorders>
              <w:right w:val="nil"/>
            </w:tcBorders>
            <w:noWrap/>
            <w:vAlign w:val="center"/>
          </w:tcPr>
          <w:p>
            <w:pPr>
              <w:rPr>
                <w:rFonts w:hint="default" w:ascii="Times New Roman" w:hAnsi="Times New Roman" w:eastAsia="仿宋" w:cs="Times New Roman"/>
                <w:sz w:val="24"/>
                <w:szCs w:val="24"/>
              </w:rPr>
            </w:pPr>
          </w:p>
        </w:tc>
        <w:tc>
          <w:tcPr>
            <w:tcW w:w="1865" w:type="dxa"/>
            <w:tcBorders>
              <w:right w:val="nil"/>
            </w:tcBorders>
            <w:vAlign w:val="center"/>
          </w:tcPr>
          <w:p>
            <w:pPr>
              <w:keepNext w:val="0"/>
              <w:keepLines w:val="0"/>
              <w:widowControl/>
              <w:suppressLineNumbers w:val="0"/>
              <w:jc w:val="left"/>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1-6月，8-12月断流，不参评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贾鲁河郑州开发利用区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贾鲁河郑州饮用水源区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尖岗水库</w:t>
            </w:r>
          </w:p>
        </w:tc>
        <w:tc>
          <w:tcPr>
            <w:tcW w:w="1207"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100%</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贾鲁河郑州开发利用区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贾鲁河郑州中牟农业用水区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中牟(下)</w:t>
            </w:r>
          </w:p>
        </w:tc>
        <w:tc>
          <w:tcPr>
            <w:tcW w:w="1207"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100%</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贾鲁河郑州开发利用区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贾鲁河中牟农业用水区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后曹闸</w:t>
            </w:r>
          </w:p>
        </w:tc>
        <w:tc>
          <w:tcPr>
            <w:tcW w:w="1207"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12</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100%</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eastAsia" w:ascii="Times New Roman" w:hAnsi="Times New Roman" w:eastAsia="仿宋" w:cs="Times New Roman"/>
                <w:sz w:val="24"/>
                <w:szCs w:val="24"/>
                <w:lang w:val="en-US" w:eastAsia="zh-CN"/>
              </w:rPr>
            </w:pPr>
            <w:r>
              <w:rPr>
                <w:rFonts w:hint="eastAsia" w:eastAsia="仿宋" w:cs="Times New Roman"/>
                <w:sz w:val="24"/>
                <w:szCs w:val="24"/>
                <w:lang w:val="en-US" w:eastAsia="zh-CN"/>
              </w:rPr>
              <w:t>9</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洛河卢氏巩义开发利用区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洛河偃师农业用水区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山化</w:t>
            </w:r>
          </w:p>
        </w:tc>
        <w:tc>
          <w:tcPr>
            <w:tcW w:w="1207"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100</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81" w:type="dxa"/>
            <w:tcBorders>
              <w:left w:val="nil"/>
            </w:tcBorders>
            <w:noWrap/>
            <w:vAlign w:val="center"/>
          </w:tcPr>
          <w:p>
            <w:pPr>
              <w:jc w:val="center"/>
              <w:rPr>
                <w:rFonts w:hint="default" w:ascii="Times New Roman" w:hAnsi="Times New Roman" w:eastAsia="仿宋" w:cs="Times New Roman"/>
                <w:sz w:val="24"/>
                <w:szCs w:val="24"/>
                <w:lang w:val="en-US" w:eastAsia="zh-CN"/>
              </w:rPr>
            </w:pPr>
            <w:r>
              <w:rPr>
                <w:rFonts w:hint="eastAsia" w:eastAsia="仿宋" w:cs="Times New Roman"/>
                <w:sz w:val="24"/>
                <w:szCs w:val="24"/>
                <w:lang w:val="en-US" w:eastAsia="zh-CN"/>
              </w:rPr>
              <w:t>10</w:t>
            </w:r>
          </w:p>
        </w:tc>
        <w:tc>
          <w:tcPr>
            <w:tcW w:w="1776"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洛河卢氏巩义开发利用区</w:t>
            </w:r>
          </w:p>
        </w:tc>
        <w:tc>
          <w:tcPr>
            <w:tcW w:w="1929"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洛河偃师巩义农业用水区</w:t>
            </w:r>
          </w:p>
        </w:tc>
        <w:tc>
          <w:tcPr>
            <w:tcW w:w="2014"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黑石关</w:t>
            </w:r>
          </w:p>
        </w:tc>
        <w:tc>
          <w:tcPr>
            <w:tcW w:w="1207"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noWrap/>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w:t>
            </w:r>
          </w:p>
        </w:tc>
        <w:tc>
          <w:tcPr>
            <w:tcW w:w="1225"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91.7</w:t>
            </w:r>
          </w:p>
        </w:tc>
        <w:tc>
          <w:tcPr>
            <w:tcW w:w="1514" w:type="dxa"/>
            <w:tcBorders>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right w:val="nil"/>
            </w:tcBorders>
            <w:vAlign w:val="center"/>
          </w:tcPr>
          <w:p>
            <w:pPr>
              <w:jc w:val="cente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81" w:type="dxa"/>
            <w:tcBorders>
              <w:left w:val="nil"/>
              <w:bottom w:val="single" w:color="auto" w:sz="12" w:space="0"/>
            </w:tcBorders>
            <w:noWrap/>
            <w:vAlign w:val="center"/>
          </w:tcPr>
          <w:p>
            <w:pPr>
              <w:jc w:val="center"/>
              <w:rPr>
                <w:rFonts w:hint="default" w:ascii="Times New Roman" w:hAnsi="Times New Roman" w:eastAsia="仿宋" w:cs="Times New Roman"/>
                <w:sz w:val="24"/>
                <w:szCs w:val="24"/>
                <w:lang w:val="en-US" w:eastAsia="zh-CN"/>
              </w:rPr>
            </w:pPr>
            <w:r>
              <w:rPr>
                <w:rFonts w:hint="eastAsia" w:eastAsia="仿宋" w:cs="Times New Roman"/>
                <w:sz w:val="24"/>
                <w:szCs w:val="24"/>
                <w:lang w:val="en-US" w:eastAsia="zh-CN"/>
              </w:rPr>
              <w:t>11</w:t>
            </w:r>
          </w:p>
        </w:tc>
        <w:tc>
          <w:tcPr>
            <w:tcW w:w="1776" w:type="dxa"/>
            <w:tcBorders>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洛河卢氏巩义开发利用区</w:t>
            </w:r>
          </w:p>
        </w:tc>
        <w:tc>
          <w:tcPr>
            <w:tcW w:w="1929" w:type="dxa"/>
            <w:tcBorders>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洛河巩义过渡区</w:t>
            </w:r>
          </w:p>
        </w:tc>
        <w:tc>
          <w:tcPr>
            <w:tcW w:w="2014" w:type="dxa"/>
            <w:tcBorders>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eastAsia" w:ascii="Times New Roman" w:hAnsi="Times New Roman" w:eastAsia="仿宋" w:cs="Times New Roman"/>
                <w:i w:val="0"/>
                <w:color w:val="000000"/>
                <w:kern w:val="0"/>
                <w:sz w:val="24"/>
                <w:szCs w:val="24"/>
                <w:u w:val="none"/>
                <w:lang w:val="en-US" w:eastAsia="zh-CN" w:bidi="ar"/>
              </w:rPr>
              <w:t>伊洛河入黄河口</w:t>
            </w:r>
          </w:p>
        </w:tc>
        <w:tc>
          <w:tcPr>
            <w:tcW w:w="1207" w:type="dxa"/>
            <w:tcBorders>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12</w:t>
            </w:r>
          </w:p>
        </w:tc>
        <w:tc>
          <w:tcPr>
            <w:tcW w:w="1242" w:type="dxa"/>
            <w:tcBorders>
              <w:bottom w:val="single" w:color="auto" w:sz="12"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11</w:t>
            </w:r>
          </w:p>
        </w:tc>
        <w:tc>
          <w:tcPr>
            <w:tcW w:w="1225" w:type="dxa"/>
            <w:tcBorders>
              <w:bottom w:val="single" w:color="auto" w:sz="12" w:space="0"/>
            </w:tcBorders>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91.7</w:t>
            </w:r>
          </w:p>
        </w:tc>
        <w:tc>
          <w:tcPr>
            <w:tcW w:w="1514" w:type="dxa"/>
            <w:tcBorders>
              <w:bottom w:val="single" w:color="auto" w:sz="12"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4"/>
                <w:szCs w:val="24"/>
                <w:u w:val="none"/>
                <w:lang w:val="en-US" w:eastAsia="zh-CN" w:bidi="ar"/>
              </w:rPr>
            </w:pPr>
            <w:r>
              <w:rPr>
                <w:rFonts w:hint="default" w:ascii="Times New Roman" w:hAnsi="Times New Roman" w:eastAsia="仿宋" w:cs="Times New Roman"/>
                <w:i w:val="0"/>
                <w:color w:val="000000"/>
                <w:kern w:val="0"/>
                <w:sz w:val="24"/>
                <w:szCs w:val="24"/>
                <w:u w:val="none"/>
                <w:lang w:val="en-US" w:eastAsia="zh-CN" w:bidi="ar"/>
              </w:rPr>
              <w:t>是</w:t>
            </w:r>
          </w:p>
        </w:tc>
        <w:tc>
          <w:tcPr>
            <w:tcW w:w="1865" w:type="dxa"/>
            <w:tcBorders>
              <w:bottom w:val="single" w:color="auto" w:sz="12" w:space="0"/>
              <w:right w:val="nil"/>
            </w:tcBorders>
            <w:vAlign w:val="center"/>
          </w:tcPr>
          <w:p>
            <w:pPr>
              <w:jc w:val="center"/>
              <w:rPr>
                <w:rFonts w:hint="default" w:ascii="Times New Roman" w:hAnsi="Times New Roman" w:eastAsia="仿宋" w:cs="Times New Roman"/>
                <w:sz w:val="24"/>
                <w:szCs w:val="24"/>
              </w:rPr>
            </w:pPr>
          </w:p>
        </w:tc>
      </w:tr>
    </w:tbl>
    <w:p>
      <w:pPr>
        <w:bidi w:val="0"/>
        <w:rPr>
          <w:rFonts w:hint="default"/>
        </w:rPr>
      </w:pPr>
    </w:p>
    <w:p>
      <w:pPr>
        <w:bidi w:val="0"/>
        <w:rPr>
          <w:rFonts w:hint="default"/>
        </w:rPr>
        <w:sectPr>
          <w:pgSz w:w="16838" w:h="11906" w:orient="landscape"/>
          <w:pgMar w:top="1247" w:right="1418" w:bottom="1247" w:left="1418" w:header="851" w:footer="992" w:gutter="0"/>
          <w:pgBorders>
            <w:top w:val="none" w:sz="0" w:space="0"/>
            <w:left w:val="none" w:sz="0" w:space="0"/>
            <w:bottom w:val="none" w:sz="0" w:space="0"/>
            <w:right w:val="none" w:sz="0" w:space="0"/>
          </w:pgBorders>
          <w:cols w:space="425" w:num="1"/>
          <w:docGrid w:linePitch="312" w:charSpace="0"/>
        </w:sectPr>
      </w:pPr>
    </w:p>
    <w:p>
      <w:pPr>
        <w:rPr>
          <w:rFonts w:hint="default" w:ascii="Times New Roman" w:hAnsi="Times New Roman" w:cs="Times New Roman"/>
          <w:color w:val="FF0000"/>
        </w:rPr>
      </w:pPr>
    </w:p>
    <w:p>
      <w:pPr>
        <w:pStyle w:val="3"/>
        <w:spacing w:before="0" w:after="0" w:line="360" w:lineRule="auto"/>
        <w:jc w:val="center"/>
        <w:rPr>
          <w:rFonts w:hint="default" w:ascii="Times New Roman" w:hAnsi="Times New Roman" w:eastAsia="黑体" w:cs="Times New Roman"/>
          <w:b w:val="0"/>
        </w:rPr>
      </w:pPr>
      <w:bookmarkStart w:id="34" w:name="_Toc24192"/>
      <w:r>
        <w:rPr>
          <w:rFonts w:hint="default" w:ascii="Times New Roman" w:hAnsi="Times New Roman" w:eastAsia="黑体" w:cs="Times New Roman"/>
          <w:b w:val="0"/>
        </w:rPr>
        <w:t>6 水资源管理</w:t>
      </w:r>
      <w:bookmarkEnd w:id="34"/>
    </w:p>
    <w:p>
      <w:pPr>
        <w:pStyle w:val="4"/>
        <w:spacing w:before="0" w:after="0" w:line="360" w:lineRule="auto"/>
        <w:jc w:val="both"/>
        <w:rPr>
          <w:rFonts w:hint="default" w:ascii="Times New Roman" w:hAnsi="Times New Roman" w:cs="Times New Roman"/>
          <w:b w:val="0"/>
          <w:lang w:val="en-US" w:eastAsia="zh-CN"/>
        </w:rPr>
      </w:pPr>
      <w:bookmarkStart w:id="35" w:name="_Toc5767"/>
      <w:r>
        <w:rPr>
          <w:rFonts w:hint="eastAsia" w:ascii="Times New Roman" w:hAnsi="Times New Roman" w:cs="Times New Roman"/>
          <w:b w:val="0"/>
          <w:lang w:val="en-US" w:eastAsia="zh-CN"/>
        </w:rPr>
        <w:t>6.1 实行最严格水资源管理制度</w:t>
      </w:r>
      <w:bookmarkEnd w:id="35"/>
    </w:p>
    <w:p>
      <w:pPr>
        <w:spacing w:line="360" w:lineRule="auto"/>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2018年3月，河南省最严格水资源管理制度考核组对郑州市2017年度落实最严格水资源管理制度进行考核。经过省考核组资料复核在全省18个省辖市和10个省直管县考核中，我市考核结果为优秀等级。</w:t>
      </w:r>
    </w:p>
    <w:p>
      <w:pPr>
        <w:spacing w:line="360" w:lineRule="auto"/>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根据市政府关于实行最严格水资源管理制度考核工作的部署要求，2018年1月，市</w:t>
      </w:r>
      <w:r>
        <w:rPr>
          <w:rFonts w:hint="eastAsia" w:eastAsia="仿宋" w:cs="Times New Roman"/>
          <w:sz w:val="32"/>
          <w:szCs w:val="32"/>
          <w:lang w:eastAsia="zh-CN"/>
        </w:rPr>
        <w:t>水利</w:t>
      </w:r>
      <w:r>
        <w:rPr>
          <w:rFonts w:hint="default" w:ascii="Times New Roman" w:hAnsi="Times New Roman" w:eastAsia="仿宋" w:cs="Times New Roman"/>
          <w:sz w:val="32"/>
          <w:szCs w:val="32"/>
        </w:rPr>
        <w:t>局会同市发改委、财政局、国土资源局、环保局、城市管理局、统计局等12个部门组成5个考核小组，具体组织实施了市政府对5个县</w:t>
      </w:r>
      <w:r>
        <w:rPr>
          <w:rFonts w:hint="eastAsia" w:eastAsia="仿宋" w:cs="Times New Roman"/>
          <w:sz w:val="32"/>
          <w:szCs w:val="32"/>
          <w:lang w:eastAsia="zh-CN"/>
        </w:rPr>
        <w:t>（</w:t>
      </w:r>
      <w:r>
        <w:rPr>
          <w:rFonts w:hint="default" w:ascii="Times New Roman" w:hAnsi="Times New Roman" w:eastAsia="仿宋" w:cs="Times New Roman"/>
          <w:sz w:val="32"/>
          <w:szCs w:val="32"/>
        </w:rPr>
        <w:t>市</w:t>
      </w:r>
      <w:r>
        <w:rPr>
          <w:rFonts w:hint="eastAsia" w:eastAsia="仿宋" w:cs="Times New Roman"/>
          <w:sz w:val="32"/>
          <w:szCs w:val="32"/>
          <w:lang w:eastAsia="zh-CN"/>
        </w:rPr>
        <w:t>）</w:t>
      </w:r>
      <w:r>
        <w:rPr>
          <w:rFonts w:hint="default" w:ascii="Times New Roman" w:hAnsi="Times New Roman" w:eastAsia="仿宋" w:cs="Times New Roman"/>
          <w:sz w:val="32"/>
          <w:szCs w:val="32"/>
        </w:rPr>
        <w:t>、上街区、市内5区及4个开发区2017年度实行最严格水资源管理制度目标完成情况、制度建设和措施落实情况的现场检查和年度考核。</w:t>
      </w:r>
      <w:bookmarkStart w:id="36" w:name="_Toc457462507"/>
      <w:r>
        <w:rPr>
          <w:rFonts w:hint="default" w:ascii="Times New Roman" w:hAnsi="Times New Roman" w:eastAsia="仿宋" w:cs="Times New Roman"/>
          <w:sz w:val="32"/>
          <w:szCs w:val="32"/>
        </w:rPr>
        <w:t>经过现场检查和资料核查，各县（市）、区、开发区考核结果均在合格以上。</w:t>
      </w:r>
    </w:p>
    <w:bookmarkEnd w:id="36"/>
    <w:p>
      <w:pPr>
        <w:pStyle w:val="4"/>
        <w:spacing w:before="0" w:after="0" w:line="360" w:lineRule="auto"/>
        <w:jc w:val="both"/>
        <w:rPr>
          <w:rFonts w:hint="default" w:ascii="Times New Roman" w:hAnsi="Times New Roman" w:cs="Times New Roman"/>
          <w:b w:val="0"/>
        </w:rPr>
      </w:pPr>
      <w:bookmarkStart w:id="37" w:name="_Toc11788"/>
      <w:r>
        <w:rPr>
          <w:rFonts w:hint="default" w:ascii="Times New Roman" w:hAnsi="Times New Roman" w:cs="Times New Roman"/>
          <w:b w:val="0"/>
          <w:lang w:val="en-US" w:eastAsia="zh-CN"/>
        </w:rPr>
        <w:t xml:space="preserve">6.2 </w:t>
      </w:r>
      <w:r>
        <w:rPr>
          <w:rFonts w:hint="default" w:ascii="Times New Roman" w:hAnsi="Times New Roman" w:cs="Times New Roman"/>
          <w:b w:val="0"/>
        </w:rPr>
        <w:t>水资源管理体制改革</w:t>
      </w:r>
      <w:bookmarkEnd w:id="37"/>
    </w:p>
    <w:p>
      <w:pPr>
        <w:spacing w:line="360" w:lineRule="auto"/>
        <w:ind w:firstLine="640" w:firstLineChars="200"/>
        <w:jc w:val="both"/>
        <w:rPr>
          <w:rFonts w:hint="default" w:ascii="Times New Roman" w:hAnsi="Times New Roman" w:eastAsia="仿宋" w:cs="Times New Roman"/>
          <w:sz w:val="30"/>
          <w:szCs w:val="30"/>
        </w:rPr>
      </w:pPr>
      <w:r>
        <w:rPr>
          <w:rFonts w:hint="default" w:ascii="Times New Roman" w:hAnsi="Times New Roman" w:eastAsia="仿宋" w:cs="Times New Roman"/>
          <w:sz w:val="32"/>
          <w:szCs w:val="32"/>
        </w:rPr>
        <w:t>持续稳步推进水资源费改税工作。在2017年“零点行动”的基础上，</w:t>
      </w:r>
      <w:r>
        <w:rPr>
          <w:rFonts w:hint="eastAsia" w:eastAsia="仿宋" w:cs="Times New Roman"/>
          <w:sz w:val="32"/>
          <w:szCs w:val="32"/>
          <w:lang w:eastAsia="zh-CN"/>
        </w:rPr>
        <w:t>水利</w:t>
      </w:r>
      <w:r>
        <w:rPr>
          <w:rFonts w:hint="default" w:ascii="Times New Roman" w:hAnsi="Times New Roman" w:eastAsia="仿宋" w:cs="Times New Roman"/>
          <w:sz w:val="32"/>
          <w:szCs w:val="32"/>
        </w:rPr>
        <w:t>、税务和城市管理部门相互配合，</w:t>
      </w:r>
      <w:r>
        <w:rPr>
          <w:rFonts w:hint="default" w:ascii="Times New Roman" w:hAnsi="Times New Roman" w:eastAsia="仿宋_GB2312" w:cs="Times New Roman"/>
          <w:sz w:val="32"/>
          <w:szCs w:val="32"/>
        </w:rPr>
        <w:t>推动无证取水接通自来水。对管网覆盖范围内的无证取水户，为其发放临时取水许可证或临时取水编码，给于自来水接通过渡期，督促其及时接通自来水，封停自备井。水资源“费改税”，将原有的行政事业性收费改为法定税收形式，将水资源费征收提升至法律层级，水资源纳税人缴纳水资源税的积极性及缴纳意识明显增强。</w:t>
      </w:r>
    </w:p>
    <w:p>
      <w:pPr>
        <w:pStyle w:val="4"/>
        <w:spacing w:before="0" w:after="0" w:line="360" w:lineRule="auto"/>
        <w:jc w:val="both"/>
        <w:rPr>
          <w:rFonts w:hint="default" w:ascii="Times New Roman" w:hAnsi="Times New Roman" w:cs="Times New Roman"/>
          <w:b w:val="0"/>
        </w:rPr>
      </w:pPr>
      <w:bookmarkStart w:id="38" w:name="_Toc12317"/>
      <w:r>
        <w:rPr>
          <w:rFonts w:hint="default" w:ascii="Times New Roman" w:hAnsi="Times New Roman" w:cs="Times New Roman"/>
          <w:b w:val="0"/>
          <w:lang w:val="en-US" w:eastAsia="zh-CN"/>
        </w:rPr>
        <w:t xml:space="preserve">6.3 </w:t>
      </w:r>
      <w:r>
        <w:rPr>
          <w:rFonts w:hint="default" w:ascii="Times New Roman" w:hAnsi="Times New Roman" w:cs="Times New Roman"/>
          <w:b w:val="0"/>
        </w:rPr>
        <w:t>地下水压采</w:t>
      </w:r>
      <w:bookmarkEnd w:id="38"/>
    </w:p>
    <w:p>
      <w:pPr>
        <w:spacing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郑州市“十三五”地下水压采任务分解安排，在2017年超额完成5年压采任务的基础上，2018年我市共完成完成地下水压采量732万m³，处置井数317眼，超额完成省水利厅下达的130万m³的年度压采任务。5月，在迎接水利部对河南省地下水压采技术评估检查中，郑州市地下水压采工作得到水利部肯定。根据省水利厅、省住建厅相关要求，市</w:t>
      </w:r>
      <w:r>
        <w:rPr>
          <w:rFonts w:hint="eastAsia" w:eastAsia="仿宋_GB2312" w:cs="Times New Roman"/>
          <w:sz w:val="32"/>
          <w:szCs w:val="32"/>
          <w:lang w:eastAsia="zh-CN"/>
        </w:rPr>
        <w:t>水利</w:t>
      </w:r>
      <w:r>
        <w:rPr>
          <w:rFonts w:hint="default" w:ascii="Times New Roman" w:hAnsi="Times New Roman" w:eastAsia="仿宋_GB2312" w:cs="Times New Roman"/>
          <w:sz w:val="32"/>
          <w:szCs w:val="32"/>
        </w:rPr>
        <w:t>局联合市城管局联合印发《关于规范和持续推进公共供水管网覆盖范围内自备井封井工作的通知》，制定了郑州市2018-2020年三年封井计划，确保郑州市地下水资源尽快实现采补平衡。</w:t>
      </w:r>
    </w:p>
    <w:p>
      <w:pPr>
        <w:pStyle w:val="4"/>
        <w:spacing w:before="0" w:after="0" w:line="360" w:lineRule="auto"/>
        <w:jc w:val="both"/>
        <w:rPr>
          <w:rFonts w:hint="default" w:ascii="Times New Roman" w:hAnsi="Times New Roman" w:cs="Times New Roman"/>
          <w:b w:val="0"/>
        </w:rPr>
      </w:pPr>
      <w:bookmarkStart w:id="39" w:name="_Toc31165"/>
      <w:r>
        <w:rPr>
          <w:rFonts w:hint="default" w:ascii="Times New Roman" w:hAnsi="Times New Roman" w:cs="Times New Roman"/>
          <w:b w:val="0"/>
          <w:lang w:val="en-US" w:eastAsia="zh-CN"/>
        </w:rPr>
        <w:t>6.4</w:t>
      </w:r>
      <w:r>
        <w:rPr>
          <w:rFonts w:hint="default" w:ascii="Times New Roman" w:hAnsi="Times New Roman" w:cs="Times New Roman"/>
          <w:b w:val="0"/>
        </w:rPr>
        <w:t>水资源规划及调查评价</w:t>
      </w:r>
      <w:bookmarkEnd w:id="39"/>
    </w:p>
    <w:p>
      <w:pPr>
        <w:spacing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《郑州市水资源综合规划》已通过省水利厅审查，市政府2018年9月17日以郑政函〔2017〕332号给予批复。《水资源配置规划》《水资源保护规划》等专项规划完成专家评审。</w:t>
      </w:r>
    </w:p>
    <w:p>
      <w:pPr>
        <w:shd w:val="clear" w:color="auto" w:fill="auto"/>
        <w:spacing w:line="360" w:lineRule="auto"/>
        <w:ind w:firstLine="640" w:firstLineChars="200"/>
        <w:jc w:val="both"/>
        <w:rPr>
          <w:rFonts w:hint="default" w:ascii="Times New Roman" w:hAnsi="Times New Roman" w:eastAsia="仿宋_GB2312" w:cs="Times New Roman"/>
          <w:sz w:val="32"/>
          <w:szCs w:val="32"/>
          <w:highlight w:val="none"/>
          <w:shd w:val="clear" w:color="auto" w:fill="FFFF00"/>
        </w:rPr>
      </w:pPr>
      <w:r>
        <w:rPr>
          <w:rFonts w:hint="default" w:ascii="Times New Roman" w:hAnsi="Times New Roman" w:eastAsia="仿宋_GB2312" w:cs="Times New Roman"/>
          <w:sz w:val="32"/>
          <w:szCs w:val="32"/>
        </w:rPr>
        <w:t>按照水利部和省水利厅</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利用2-3年时间全面摸清近年来我国水资源数量、质量、开发利用、水生态环境的情</w:t>
      </w:r>
      <w:r>
        <w:rPr>
          <w:rFonts w:hint="default" w:ascii="Times New Roman" w:hAnsi="Times New Roman" w:eastAsia="仿宋_GB2312" w:cs="Times New Roman"/>
          <w:sz w:val="32"/>
          <w:szCs w:val="32"/>
          <w:highlight w:val="none"/>
        </w:rPr>
        <w:t>况</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要求，我市成立了第三次水资源调查评价工作专项领导小组，收集、汇总前期资料，委托郑州水文水资源勘测局负责技术评价</w:t>
      </w:r>
      <w:r>
        <w:rPr>
          <w:rFonts w:hint="default" w:ascii="Times New Roman" w:hAnsi="Times New Roman" w:eastAsia="仿宋_GB2312" w:cs="Times New Roman"/>
          <w:sz w:val="32"/>
          <w:szCs w:val="32"/>
          <w:highlight w:val="none"/>
          <w:shd w:val="clear" w:color="auto" w:fill="auto"/>
        </w:rPr>
        <w:t>，</w:t>
      </w:r>
      <w:r>
        <w:rPr>
          <w:rFonts w:hint="eastAsia" w:eastAsia="仿宋_GB2312" w:cs="Times New Roman"/>
          <w:sz w:val="32"/>
          <w:szCs w:val="32"/>
          <w:highlight w:val="none"/>
          <w:shd w:val="clear" w:color="auto" w:fill="auto"/>
          <w:lang w:eastAsia="zh-CN"/>
        </w:rPr>
        <w:t>经验收合格。</w:t>
      </w:r>
    </w:p>
    <w:p>
      <w:pPr>
        <w:pStyle w:val="4"/>
        <w:shd w:val="clear" w:color="auto" w:fill="auto"/>
        <w:spacing w:before="0" w:after="0" w:line="360" w:lineRule="auto"/>
        <w:jc w:val="both"/>
        <w:rPr>
          <w:rFonts w:hint="default" w:ascii="Times New Roman" w:hAnsi="Times New Roman" w:cs="Times New Roman"/>
          <w:b w:val="0"/>
          <w:highlight w:val="none"/>
        </w:rPr>
      </w:pPr>
      <w:bookmarkStart w:id="40" w:name="_Toc28755"/>
      <w:r>
        <w:rPr>
          <w:rFonts w:hint="default" w:ascii="Times New Roman" w:hAnsi="Times New Roman" w:cs="Times New Roman"/>
          <w:b w:val="0"/>
          <w:highlight w:val="none"/>
          <w:lang w:val="en-US" w:eastAsia="zh-CN"/>
        </w:rPr>
        <w:t xml:space="preserve">6.5 </w:t>
      </w:r>
      <w:r>
        <w:rPr>
          <w:rFonts w:hint="default" w:ascii="Times New Roman" w:hAnsi="Times New Roman" w:cs="Times New Roman"/>
          <w:b w:val="0"/>
          <w:highlight w:val="none"/>
        </w:rPr>
        <w:t>入河排污口管理</w:t>
      </w:r>
      <w:bookmarkEnd w:id="40"/>
    </w:p>
    <w:p>
      <w:pPr>
        <w:spacing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省水利厅《关于入河排污口调查摸底和规范整治专项行动的通知》要求，我市召开专题会议传达上级精神，组织、指导各县市区开展入河排污口专项行动。全市共摸查入河排污口232个，其中规模以上58个。各县市区均针对性的开展了排污口规范手续、封堵治理等工作，专项行动取得初步成果。</w:t>
      </w:r>
    </w:p>
    <w:p>
      <w:pPr>
        <w:pStyle w:val="4"/>
        <w:spacing w:before="0" w:after="0" w:line="360" w:lineRule="auto"/>
        <w:jc w:val="both"/>
        <w:rPr>
          <w:rFonts w:hint="default" w:ascii="Times New Roman" w:hAnsi="Times New Roman" w:cs="Times New Roman"/>
          <w:b w:val="0"/>
        </w:rPr>
      </w:pPr>
      <w:bookmarkStart w:id="41" w:name="_Toc2404"/>
      <w:r>
        <w:rPr>
          <w:rFonts w:hint="default" w:ascii="Times New Roman" w:hAnsi="Times New Roman" w:cs="Times New Roman"/>
          <w:b w:val="0"/>
          <w:lang w:val="en-US" w:eastAsia="zh-CN"/>
        </w:rPr>
        <w:t>6.6</w:t>
      </w:r>
      <w:r>
        <w:rPr>
          <w:rFonts w:hint="default" w:ascii="Times New Roman" w:hAnsi="Times New Roman" w:cs="Times New Roman"/>
          <w:b w:val="0"/>
        </w:rPr>
        <w:t>节水型社会建设</w:t>
      </w:r>
      <w:bookmarkEnd w:id="41"/>
    </w:p>
    <w:p>
      <w:pPr>
        <w:spacing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为落实国家节水行动战略，我市率先启动郑州市节水行动方案编制工作，委托中国水科院进行方案的编制</w:t>
      </w:r>
      <w:r>
        <w:rPr>
          <w:rFonts w:hint="eastAsia" w:eastAsia="仿宋_GB2312" w:cs="Times New Roman"/>
          <w:sz w:val="32"/>
          <w:szCs w:val="32"/>
          <w:lang w:eastAsia="zh-CN"/>
        </w:rPr>
        <w:t>，经郑州全面深化改革委员会第三次会议审议通过后正式印发，成为全国第一个出台节水行动方案的城市</w:t>
      </w:r>
      <w:r>
        <w:rPr>
          <w:rFonts w:hint="default" w:ascii="Times New Roman" w:hAnsi="Times New Roman" w:eastAsia="仿宋_GB2312" w:cs="Times New Roman"/>
          <w:sz w:val="32"/>
          <w:szCs w:val="32"/>
        </w:rPr>
        <w:t>。</w:t>
      </w:r>
    </w:p>
    <w:p>
      <w:pPr>
        <w:widowControl/>
        <w:spacing w:line="360" w:lineRule="auto"/>
        <w:ind w:firstLine="800" w:firstLineChars="250"/>
        <w:jc w:val="both"/>
        <w:rPr>
          <w:rFonts w:hint="default" w:ascii="Times New Roman" w:hAnsi="Times New Roman" w:eastAsia="仿宋" w:cs="Times New Roman"/>
          <w:color w:val="0B210E"/>
          <w:kern w:val="0"/>
          <w:sz w:val="30"/>
          <w:szCs w:val="30"/>
        </w:rPr>
      </w:pPr>
      <w:r>
        <w:rPr>
          <w:rFonts w:hint="default" w:ascii="Times New Roman" w:hAnsi="Times New Roman" w:eastAsia="仿宋_GB2312" w:cs="Times New Roman"/>
          <w:sz w:val="32"/>
          <w:szCs w:val="32"/>
        </w:rPr>
        <w:t>积极推动县域节水型社会创建工作，市政府印发县域节水型社会达标建设实施方案，</w:t>
      </w:r>
      <w:r>
        <w:rPr>
          <w:rFonts w:hint="eastAsia" w:eastAsia="仿宋_GB2312" w:cs="Times New Roman"/>
          <w:sz w:val="32"/>
          <w:szCs w:val="32"/>
          <w:lang w:eastAsia="zh-CN"/>
        </w:rPr>
        <w:t>郑州市节水中心</w:t>
      </w:r>
      <w:r>
        <w:rPr>
          <w:rFonts w:hint="default" w:ascii="Times New Roman" w:hAnsi="Times New Roman" w:eastAsia="仿宋_GB2312" w:cs="Times New Roman"/>
          <w:sz w:val="32"/>
          <w:szCs w:val="32"/>
        </w:rPr>
        <w:t>对各县（市、区）进行了前期培训</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新郑市、新密市、登封市、郑东新区于年底顺前利通过省水利厅组织的验收</w:t>
      </w:r>
      <w:r>
        <w:rPr>
          <w:rFonts w:hint="eastAsia" w:eastAsia="仿宋_GB2312" w:cs="Times New Roman"/>
          <w:sz w:val="32"/>
          <w:szCs w:val="32"/>
          <w:lang w:eastAsia="zh-CN"/>
        </w:rPr>
        <w:t>，经水利部（</w:t>
      </w:r>
      <w:r>
        <w:rPr>
          <w:rFonts w:hint="eastAsia" w:eastAsia="仿宋_GB2312" w:cs="Times New Roman"/>
          <w:sz w:val="32"/>
          <w:szCs w:val="32"/>
          <w:lang w:val="en-US" w:eastAsia="zh-CN"/>
        </w:rPr>
        <w:t>2019年第14号</w:t>
      </w:r>
      <w:r>
        <w:rPr>
          <w:rFonts w:hint="eastAsia" w:eastAsia="仿宋_GB2312" w:cs="Times New Roman"/>
          <w:sz w:val="32"/>
          <w:szCs w:val="32"/>
          <w:lang w:eastAsia="zh-CN"/>
        </w:rPr>
        <w:t>）公告予以公示。</w:t>
      </w:r>
    </w:p>
    <w:p>
      <w:pPr>
        <w:jc w:val="both"/>
        <w:rPr>
          <w:rFonts w:hint="default" w:ascii="Times New Roman" w:hAnsi="Times New Roman" w:cs="Times New Roman"/>
        </w:rPr>
      </w:pPr>
    </w:p>
    <w:sectPr>
      <w:footerReference r:id="rId13" w:type="default"/>
      <w:pgSz w:w="11906" w:h="16838"/>
      <w:pgMar w:top="1418" w:right="1247" w:bottom="1418" w:left="1247"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altName w:val="黑体"/>
    <w:panose1 w:val="00000000000000000000"/>
    <w:charset w:val="86"/>
    <w:family w:val="script"/>
    <w:pitch w:val="default"/>
    <w:sig w:usb0="00000000" w:usb1="00000000" w:usb2="00000010" w:usb3="00000000" w:csb0="00040000" w:csb1="00000000"/>
  </w:font>
  <w:font w:name="MingLiU_HKSCS-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r>
      <w:fldChar w:fldCharType="begin"/>
    </w:r>
    <w:r>
      <w:rPr>
        <w:rStyle w:val="20"/>
      </w:rPr>
      <w:instrText xml:space="preserve">PAGE  </w:instrText>
    </w:r>
    <w:r>
      <w:fldChar w:fldCharType="separate"/>
    </w:r>
    <w:r>
      <w:rPr>
        <w:rStyle w:val="20"/>
      </w:rPr>
      <w:t>1</w:t>
    </w:r>
    <w:r>
      <w:fldChar w:fldCharType="end"/>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b/>
        <w:bCs/>
      </w:rPr>
    </w:pPr>
    <w:r>
      <w:rPr>
        <w:b/>
        <w:bCs/>
      </w:rPr>
      <w:fldChar w:fldCharType="begin"/>
    </w:r>
    <w:r>
      <w:rPr>
        <w:rStyle w:val="20"/>
        <w:b/>
        <w:bCs/>
      </w:rPr>
      <w:instrText xml:space="preserve">PAGE  </w:instrText>
    </w:r>
    <w:r>
      <w:rPr>
        <w:b/>
        <w:bCs/>
      </w:rPr>
      <w:fldChar w:fldCharType="separate"/>
    </w:r>
    <w:r>
      <w:rPr>
        <w:rStyle w:val="20"/>
        <w:b/>
        <w:bCs/>
      </w:rPr>
      <w:t>1</w:t>
    </w:r>
    <w:r>
      <w:rPr>
        <w:b/>
        <w:bCs/>
      </w:rPr>
      <w:fldChar w:fldCharType="end"/>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b/>
        <w:bCs/>
      </w:rPr>
    </w:pPr>
    <w:r>
      <w:rPr>
        <w:b/>
        <w:bCs/>
      </w:rPr>
      <w:fldChar w:fldCharType="begin"/>
    </w:r>
    <w:r>
      <w:rPr>
        <w:rStyle w:val="20"/>
        <w:b/>
        <w:bCs/>
      </w:rPr>
      <w:instrText xml:space="preserve">PAGE  </w:instrText>
    </w:r>
    <w:r>
      <w:rPr>
        <w:b/>
        <w:bCs/>
      </w:rPr>
      <w:fldChar w:fldCharType="separate"/>
    </w:r>
    <w:r>
      <w:rPr>
        <w:rStyle w:val="20"/>
        <w:b/>
        <w:bCs/>
      </w:rPr>
      <w:t>3</w:t>
    </w:r>
    <w:r>
      <w:rPr>
        <w:b/>
        <w:bCs/>
      </w:rPr>
      <w:fldChar w:fldCharType="end"/>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b/>
        <w:bCs/>
      </w:rPr>
    </w:pPr>
    <w:r>
      <w:rPr>
        <w:b/>
        <w:bCs/>
      </w:rPr>
      <w:fldChar w:fldCharType="begin"/>
    </w:r>
    <w:r>
      <w:rPr>
        <w:rStyle w:val="20"/>
        <w:b/>
        <w:bCs/>
      </w:rPr>
      <w:instrText xml:space="preserve">PAGE  </w:instrText>
    </w:r>
    <w:r>
      <w:rPr>
        <w:b/>
        <w:bCs/>
      </w:rPr>
      <w:fldChar w:fldCharType="separate"/>
    </w:r>
    <w:r>
      <w:rPr>
        <w:rStyle w:val="20"/>
        <w:b/>
        <w:bCs/>
      </w:rPr>
      <w:t>31</w:t>
    </w:r>
    <w:r>
      <w:rPr>
        <w:b/>
        <w:bCs/>
      </w:rPr>
      <w:fldChar w:fldCharType="end"/>
    </w: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r>
      <w:fldChar w:fldCharType="begin"/>
    </w:r>
    <w:r>
      <w:rPr>
        <w:rStyle w:val="20"/>
      </w:rPr>
      <w:instrText xml:space="preserve">PAGE  </w:instrText>
    </w:r>
    <w:r>
      <w:fldChar w:fldCharType="separate"/>
    </w:r>
    <w:r>
      <w:rPr>
        <w:rStyle w:val="20"/>
      </w:rPr>
      <w:t>1</w:t>
    </w:r>
    <w:r>
      <w:fldChar w:fldCharType="end"/>
    </w:r>
  </w:p>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b/>
        <w:bCs/>
      </w:rPr>
    </w:pPr>
    <w:r>
      <w:rPr>
        <w:b/>
        <w:bCs/>
      </w:rPr>
      <w:fldChar w:fldCharType="begin"/>
    </w:r>
    <w:r>
      <w:rPr>
        <w:rStyle w:val="20"/>
        <w:b/>
        <w:bCs/>
      </w:rPr>
      <w:instrText xml:space="preserve">PAGE  </w:instrText>
    </w:r>
    <w:r>
      <w:rPr>
        <w:b/>
        <w:bCs/>
      </w:rPr>
      <w:fldChar w:fldCharType="separate"/>
    </w:r>
    <w:r>
      <w:rPr>
        <w:rStyle w:val="20"/>
        <w:b/>
        <w:bCs/>
      </w:rPr>
      <w:t>34</w:t>
    </w:r>
    <w:r>
      <w:rPr>
        <w:b/>
        <w:bCs/>
      </w:rPr>
      <w:fldChar w:fldCharType="end"/>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b/>
        <w:bCs/>
      </w:rPr>
    </w:pPr>
    <w:r>
      <w:rPr>
        <w:b/>
        <w:bCs/>
      </w:rPr>
      <w:fldChar w:fldCharType="begin"/>
    </w:r>
    <w:r>
      <w:rPr>
        <w:rStyle w:val="20"/>
        <w:b/>
        <w:bCs/>
      </w:rPr>
      <w:instrText xml:space="preserve">PAGE  </w:instrText>
    </w:r>
    <w:r>
      <w:rPr>
        <w:b/>
        <w:bCs/>
      </w:rPr>
      <w:fldChar w:fldCharType="separate"/>
    </w:r>
    <w:r>
      <w:rPr>
        <w:rStyle w:val="20"/>
        <w:b/>
        <w:bCs/>
      </w:rPr>
      <w:t>39</w:t>
    </w:r>
    <w:r>
      <w:rPr>
        <w:b/>
        <w:bCs/>
      </w:rP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rPr>
        <w:rFonts w:hint="eastAsia" w:ascii="宋体" w:hAnsi="宋体"/>
        <w:lang w:eastAsia="zh-CN"/>
      </w:rPr>
      <w:t>2018</w:t>
    </w:r>
    <w:r>
      <w:rPr>
        <w:rFonts w:hint="eastAsia" w:ascii="宋体" w:hAnsi="宋体"/>
      </w:rPr>
      <w:t>年郑州市水资源公报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901"/>
    <w:rsid w:val="00003B3C"/>
    <w:rsid w:val="000070B2"/>
    <w:rsid w:val="00024862"/>
    <w:rsid w:val="00031B3B"/>
    <w:rsid w:val="00034BFE"/>
    <w:rsid w:val="00040901"/>
    <w:rsid w:val="00044993"/>
    <w:rsid w:val="000472F9"/>
    <w:rsid w:val="000515F1"/>
    <w:rsid w:val="00054511"/>
    <w:rsid w:val="000623E3"/>
    <w:rsid w:val="00071EE0"/>
    <w:rsid w:val="000731BF"/>
    <w:rsid w:val="00073D91"/>
    <w:rsid w:val="00084D69"/>
    <w:rsid w:val="00086AD0"/>
    <w:rsid w:val="00087FB7"/>
    <w:rsid w:val="00094668"/>
    <w:rsid w:val="000A1878"/>
    <w:rsid w:val="000A4D34"/>
    <w:rsid w:val="000B370E"/>
    <w:rsid w:val="000B4CAA"/>
    <w:rsid w:val="000F5A00"/>
    <w:rsid w:val="00101C83"/>
    <w:rsid w:val="00103993"/>
    <w:rsid w:val="00111057"/>
    <w:rsid w:val="00112886"/>
    <w:rsid w:val="00117D18"/>
    <w:rsid w:val="001214B2"/>
    <w:rsid w:val="00137BC5"/>
    <w:rsid w:val="00141E7F"/>
    <w:rsid w:val="0014665B"/>
    <w:rsid w:val="0015419B"/>
    <w:rsid w:val="0016360B"/>
    <w:rsid w:val="00163D59"/>
    <w:rsid w:val="00180004"/>
    <w:rsid w:val="00180328"/>
    <w:rsid w:val="00185E2D"/>
    <w:rsid w:val="00190E5D"/>
    <w:rsid w:val="00197C58"/>
    <w:rsid w:val="00197FC0"/>
    <w:rsid w:val="001B11B3"/>
    <w:rsid w:val="001B45BE"/>
    <w:rsid w:val="001C3E66"/>
    <w:rsid w:val="001D0D88"/>
    <w:rsid w:val="001D7768"/>
    <w:rsid w:val="001F7A68"/>
    <w:rsid w:val="00206BE4"/>
    <w:rsid w:val="00216251"/>
    <w:rsid w:val="002204D3"/>
    <w:rsid w:val="00223CDE"/>
    <w:rsid w:val="002261C5"/>
    <w:rsid w:val="0025186F"/>
    <w:rsid w:val="002531FD"/>
    <w:rsid w:val="00256799"/>
    <w:rsid w:val="002716B7"/>
    <w:rsid w:val="00277DCD"/>
    <w:rsid w:val="0029693C"/>
    <w:rsid w:val="002A3824"/>
    <w:rsid w:val="002B1318"/>
    <w:rsid w:val="002B16C9"/>
    <w:rsid w:val="002B6A88"/>
    <w:rsid w:val="002D02CF"/>
    <w:rsid w:val="002D03E5"/>
    <w:rsid w:val="002D0572"/>
    <w:rsid w:val="002D25A7"/>
    <w:rsid w:val="002D3C93"/>
    <w:rsid w:val="002D74B8"/>
    <w:rsid w:val="0031029E"/>
    <w:rsid w:val="00311018"/>
    <w:rsid w:val="00330452"/>
    <w:rsid w:val="00337543"/>
    <w:rsid w:val="00341706"/>
    <w:rsid w:val="00346108"/>
    <w:rsid w:val="00346809"/>
    <w:rsid w:val="00347BAA"/>
    <w:rsid w:val="0037028A"/>
    <w:rsid w:val="0039070E"/>
    <w:rsid w:val="00397A5A"/>
    <w:rsid w:val="003A67EA"/>
    <w:rsid w:val="003B1D31"/>
    <w:rsid w:val="003B30BF"/>
    <w:rsid w:val="003B5AC3"/>
    <w:rsid w:val="003C37B0"/>
    <w:rsid w:val="003C4F75"/>
    <w:rsid w:val="003C6D7C"/>
    <w:rsid w:val="003D5BD3"/>
    <w:rsid w:val="003D7CFF"/>
    <w:rsid w:val="003E48F7"/>
    <w:rsid w:val="003F1882"/>
    <w:rsid w:val="003F7873"/>
    <w:rsid w:val="00403292"/>
    <w:rsid w:val="00404949"/>
    <w:rsid w:val="00407440"/>
    <w:rsid w:val="004109F0"/>
    <w:rsid w:val="00412E3E"/>
    <w:rsid w:val="0041463F"/>
    <w:rsid w:val="0042797A"/>
    <w:rsid w:val="004501B8"/>
    <w:rsid w:val="00451079"/>
    <w:rsid w:val="00451768"/>
    <w:rsid w:val="004628CA"/>
    <w:rsid w:val="0048639B"/>
    <w:rsid w:val="004879BF"/>
    <w:rsid w:val="00496502"/>
    <w:rsid w:val="004978BD"/>
    <w:rsid w:val="004A05FD"/>
    <w:rsid w:val="004B21F6"/>
    <w:rsid w:val="004C1E1E"/>
    <w:rsid w:val="004D0B8D"/>
    <w:rsid w:val="004D1D29"/>
    <w:rsid w:val="004D4733"/>
    <w:rsid w:val="004E1011"/>
    <w:rsid w:val="004E31C3"/>
    <w:rsid w:val="004E7716"/>
    <w:rsid w:val="004F22B6"/>
    <w:rsid w:val="00541933"/>
    <w:rsid w:val="00551E3B"/>
    <w:rsid w:val="00554F67"/>
    <w:rsid w:val="00575343"/>
    <w:rsid w:val="005813CD"/>
    <w:rsid w:val="00581F72"/>
    <w:rsid w:val="00596821"/>
    <w:rsid w:val="005B2A4E"/>
    <w:rsid w:val="005E0812"/>
    <w:rsid w:val="005E0B5A"/>
    <w:rsid w:val="005E63C4"/>
    <w:rsid w:val="005F0E7A"/>
    <w:rsid w:val="006042CE"/>
    <w:rsid w:val="006050A8"/>
    <w:rsid w:val="00607CD8"/>
    <w:rsid w:val="0061724D"/>
    <w:rsid w:val="00617C67"/>
    <w:rsid w:val="00620C89"/>
    <w:rsid w:val="00632F9C"/>
    <w:rsid w:val="0065202C"/>
    <w:rsid w:val="00667BF1"/>
    <w:rsid w:val="0067031E"/>
    <w:rsid w:val="00670C42"/>
    <w:rsid w:val="0068281F"/>
    <w:rsid w:val="006874B3"/>
    <w:rsid w:val="006A3815"/>
    <w:rsid w:val="006B2BE1"/>
    <w:rsid w:val="006F56AD"/>
    <w:rsid w:val="00700408"/>
    <w:rsid w:val="0070081C"/>
    <w:rsid w:val="007237D5"/>
    <w:rsid w:val="007244B3"/>
    <w:rsid w:val="00724F31"/>
    <w:rsid w:val="0072775E"/>
    <w:rsid w:val="00737D38"/>
    <w:rsid w:val="00761740"/>
    <w:rsid w:val="00766BF2"/>
    <w:rsid w:val="00771E73"/>
    <w:rsid w:val="00772B0D"/>
    <w:rsid w:val="007777E5"/>
    <w:rsid w:val="00785CDE"/>
    <w:rsid w:val="00786CC4"/>
    <w:rsid w:val="007A03D8"/>
    <w:rsid w:val="007A2023"/>
    <w:rsid w:val="007C40FE"/>
    <w:rsid w:val="007C544B"/>
    <w:rsid w:val="007D1E91"/>
    <w:rsid w:val="007D352F"/>
    <w:rsid w:val="007D35BD"/>
    <w:rsid w:val="007E27C0"/>
    <w:rsid w:val="007E6145"/>
    <w:rsid w:val="007E72B2"/>
    <w:rsid w:val="007F229C"/>
    <w:rsid w:val="007F46A9"/>
    <w:rsid w:val="008019B0"/>
    <w:rsid w:val="0082027A"/>
    <w:rsid w:val="0082135E"/>
    <w:rsid w:val="00824148"/>
    <w:rsid w:val="00832E5A"/>
    <w:rsid w:val="0084613C"/>
    <w:rsid w:val="00861B1E"/>
    <w:rsid w:val="00864246"/>
    <w:rsid w:val="00870184"/>
    <w:rsid w:val="008836BA"/>
    <w:rsid w:val="00893758"/>
    <w:rsid w:val="00893830"/>
    <w:rsid w:val="00893B31"/>
    <w:rsid w:val="0089769E"/>
    <w:rsid w:val="008C6548"/>
    <w:rsid w:val="008C71AA"/>
    <w:rsid w:val="008D20CD"/>
    <w:rsid w:val="008D2EAE"/>
    <w:rsid w:val="008F29F1"/>
    <w:rsid w:val="009145DB"/>
    <w:rsid w:val="00922239"/>
    <w:rsid w:val="009255B2"/>
    <w:rsid w:val="00927EB2"/>
    <w:rsid w:val="00937693"/>
    <w:rsid w:val="00940264"/>
    <w:rsid w:val="00942000"/>
    <w:rsid w:val="00943C8E"/>
    <w:rsid w:val="00944D3C"/>
    <w:rsid w:val="00947829"/>
    <w:rsid w:val="00947A2A"/>
    <w:rsid w:val="00950344"/>
    <w:rsid w:val="00951ABF"/>
    <w:rsid w:val="00960669"/>
    <w:rsid w:val="009719CA"/>
    <w:rsid w:val="00977340"/>
    <w:rsid w:val="009866AB"/>
    <w:rsid w:val="00992FD0"/>
    <w:rsid w:val="009B5C7C"/>
    <w:rsid w:val="009C16A2"/>
    <w:rsid w:val="009C4608"/>
    <w:rsid w:val="009D52FA"/>
    <w:rsid w:val="009E0908"/>
    <w:rsid w:val="009E656F"/>
    <w:rsid w:val="00A001A5"/>
    <w:rsid w:val="00A03FB7"/>
    <w:rsid w:val="00A040CD"/>
    <w:rsid w:val="00A04864"/>
    <w:rsid w:val="00A10AF4"/>
    <w:rsid w:val="00A112C6"/>
    <w:rsid w:val="00A12C07"/>
    <w:rsid w:val="00A132B2"/>
    <w:rsid w:val="00A23E5D"/>
    <w:rsid w:val="00A250A2"/>
    <w:rsid w:val="00A25CCC"/>
    <w:rsid w:val="00A305BB"/>
    <w:rsid w:val="00A45EB9"/>
    <w:rsid w:val="00A47D04"/>
    <w:rsid w:val="00A52D60"/>
    <w:rsid w:val="00A533C0"/>
    <w:rsid w:val="00A53B58"/>
    <w:rsid w:val="00A55474"/>
    <w:rsid w:val="00A614EE"/>
    <w:rsid w:val="00A7006D"/>
    <w:rsid w:val="00A70CBF"/>
    <w:rsid w:val="00A7616F"/>
    <w:rsid w:val="00A76DA2"/>
    <w:rsid w:val="00A8039B"/>
    <w:rsid w:val="00A81111"/>
    <w:rsid w:val="00A92F98"/>
    <w:rsid w:val="00AA49BD"/>
    <w:rsid w:val="00AC074F"/>
    <w:rsid w:val="00AC55A2"/>
    <w:rsid w:val="00AC572D"/>
    <w:rsid w:val="00AE02AE"/>
    <w:rsid w:val="00AF06E3"/>
    <w:rsid w:val="00B022A7"/>
    <w:rsid w:val="00B05BDC"/>
    <w:rsid w:val="00B421BF"/>
    <w:rsid w:val="00B51487"/>
    <w:rsid w:val="00B52DFA"/>
    <w:rsid w:val="00B61BE8"/>
    <w:rsid w:val="00B6354D"/>
    <w:rsid w:val="00B669AA"/>
    <w:rsid w:val="00B857FB"/>
    <w:rsid w:val="00B93D0E"/>
    <w:rsid w:val="00B967DD"/>
    <w:rsid w:val="00B96F73"/>
    <w:rsid w:val="00BA3696"/>
    <w:rsid w:val="00BB1862"/>
    <w:rsid w:val="00BB63D8"/>
    <w:rsid w:val="00BC4F31"/>
    <w:rsid w:val="00BD0DFA"/>
    <w:rsid w:val="00BD2975"/>
    <w:rsid w:val="00BD3D21"/>
    <w:rsid w:val="00BD43A3"/>
    <w:rsid w:val="00BD5098"/>
    <w:rsid w:val="00BE7D29"/>
    <w:rsid w:val="00C006F5"/>
    <w:rsid w:val="00C03802"/>
    <w:rsid w:val="00C24587"/>
    <w:rsid w:val="00C341F1"/>
    <w:rsid w:val="00C34DDE"/>
    <w:rsid w:val="00C54064"/>
    <w:rsid w:val="00C54DC1"/>
    <w:rsid w:val="00C60977"/>
    <w:rsid w:val="00C73094"/>
    <w:rsid w:val="00C91F3B"/>
    <w:rsid w:val="00C96594"/>
    <w:rsid w:val="00C96CF3"/>
    <w:rsid w:val="00CB2148"/>
    <w:rsid w:val="00CC7A6A"/>
    <w:rsid w:val="00CD2EC3"/>
    <w:rsid w:val="00CD408E"/>
    <w:rsid w:val="00CE0A26"/>
    <w:rsid w:val="00CF1336"/>
    <w:rsid w:val="00CF58E2"/>
    <w:rsid w:val="00CF7095"/>
    <w:rsid w:val="00D0200C"/>
    <w:rsid w:val="00D05F3F"/>
    <w:rsid w:val="00D108C8"/>
    <w:rsid w:val="00D21D15"/>
    <w:rsid w:val="00D277DC"/>
    <w:rsid w:val="00D42567"/>
    <w:rsid w:val="00D46C15"/>
    <w:rsid w:val="00D52B94"/>
    <w:rsid w:val="00D53035"/>
    <w:rsid w:val="00D565F8"/>
    <w:rsid w:val="00D5762C"/>
    <w:rsid w:val="00D756E5"/>
    <w:rsid w:val="00D83982"/>
    <w:rsid w:val="00D85CED"/>
    <w:rsid w:val="00D86212"/>
    <w:rsid w:val="00D93DAC"/>
    <w:rsid w:val="00DB6D8B"/>
    <w:rsid w:val="00DB6DE0"/>
    <w:rsid w:val="00DB7301"/>
    <w:rsid w:val="00DD6805"/>
    <w:rsid w:val="00E00272"/>
    <w:rsid w:val="00E00E06"/>
    <w:rsid w:val="00E01C62"/>
    <w:rsid w:val="00E13290"/>
    <w:rsid w:val="00E2258A"/>
    <w:rsid w:val="00E343DC"/>
    <w:rsid w:val="00E3655D"/>
    <w:rsid w:val="00E5009F"/>
    <w:rsid w:val="00E51772"/>
    <w:rsid w:val="00E54F77"/>
    <w:rsid w:val="00E66788"/>
    <w:rsid w:val="00E70925"/>
    <w:rsid w:val="00E711FF"/>
    <w:rsid w:val="00E71321"/>
    <w:rsid w:val="00E8168A"/>
    <w:rsid w:val="00E90D28"/>
    <w:rsid w:val="00E91147"/>
    <w:rsid w:val="00E9438A"/>
    <w:rsid w:val="00EA2EF6"/>
    <w:rsid w:val="00EA72BC"/>
    <w:rsid w:val="00EB2F8F"/>
    <w:rsid w:val="00EB504A"/>
    <w:rsid w:val="00EC06AF"/>
    <w:rsid w:val="00EC238E"/>
    <w:rsid w:val="00EC5051"/>
    <w:rsid w:val="00EC7284"/>
    <w:rsid w:val="00ED6D9C"/>
    <w:rsid w:val="00EF0AFA"/>
    <w:rsid w:val="00F0530D"/>
    <w:rsid w:val="00F1066F"/>
    <w:rsid w:val="00F133B1"/>
    <w:rsid w:val="00F13A12"/>
    <w:rsid w:val="00F14EAF"/>
    <w:rsid w:val="00F235AD"/>
    <w:rsid w:val="00F31FD1"/>
    <w:rsid w:val="00F5329A"/>
    <w:rsid w:val="00F56DAC"/>
    <w:rsid w:val="00F56F75"/>
    <w:rsid w:val="00F64934"/>
    <w:rsid w:val="00F655E4"/>
    <w:rsid w:val="00F8077F"/>
    <w:rsid w:val="00F81A77"/>
    <w:rsid w:val="00F84139"/>
    <w:rsid w:val="00F91AFE"/>
    <w:rsid w:val="00FA3B19"/>
    <w:rsid w:val="00FA51D9"/>
    <w:rsid w:val="00FA74B8"/>
    <w:rsid w:val="00FC0DC1"/>
    <w:rsid w:val="00FC4AC0"/>
    <w:rsid w:val="00FD3F56"/>
    <w:rsid w:val="00FE3F60"/>
    <w:rsid w:val="00FE5971"/>
    <w:rsid w:val="062A66CD"/>
    <w:rsid w:val="09260AD1"/>
    <w:rsid w:val="0BD20A2E"/>
    <w:rsid w:val="0D555B94"/>
    <w:rsid w:val="0E3B0F31"/>
    <w:rsid w:val="13E30FA3"/>
    <w:rsid w:val="140224AB"/>
    <w:rsid w:val="18D2763F"/>
    <w:rsid w:val="24380C19"/>
    <w:rsid w:val="24A443B9"/>
    <w:rsid w:val="29995D5C"/>
    <w:rsid w:val="2F5A6CDB"/>
    <w:rsid w:val="3028518D"/>
    <w:rsid w:val="311728F2"/>
    <w:rsid w:val="332F13ED"/>
    <w:rsid w:val="370D33B3"/>
    <w:rsid w:val="37516347"/>
    <w:rsid w:val="37711FDE"/>
    <w:rsid w:val="378F4B63"/>
    <w:rsid w:val="384A0C1B"/>
    <w:rsid w:val="398246EA"/>
    <w:rsid w:val="3E380326"/>
    <w:rsid w:val="46C12142"/>
    <w:rsid w:val="475D08A0"/>
    <w:rsid w:val="4A661CE8"/>
    <w:rsid w:val="4A847C6D"/>
    <w:rsid w:val="4C1900A1"/>
    <w:rsid w:val="4D116818"/>
    <w:rsid w:val="4D203ADA"/>
    <w:rsid w:val="4DE91C2A"/>
    <w:rsid w:val="4FE214A6"/>
    <w:rsid w:val="50260C13"/>
    <w:rsid w:val="503672E6"/>
    <w:rsid w:val="51BC029F"/>
    <w:rsid w:val="56C51D4C"/>
    <w:rsid w:val="56EC258F"/>
    <w:rsid w:val="5D9E0847"/>
    <w:rsid w:val="5E40196B"/>
    <w:rsid w:val="5EEC0F22"/>
    <w:rsid w:val="5F110DDB"/>
    <w:rsid w:val="61D84758"/>
    <w:rsid w:val="63620F01"/>
    <w:rsid w:val="65F34556"/>
    <w:rsid w:val="663E08F7"/>
    <w:rsid w:val="664A5886"/>
    <w:rsid w:val="676C2D86"/>
    <w:rsid w:val="67861AB1"/>
    <w:rsid w:val="68364419"/>
    <w:rsid w:val="690520E8"/>
    <w:rsid w:val="69AA4291"/>
    <w:rsid w:val="6C4A72A3"/>
    <w:rsid w:val="6CCA4B4E"/>
    <w:rsid w:val="6D002601"/>
    <w:rsid w:val="75A7477B"/>
    <w:rsid w:val="75FF0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before="260" w:after="260" w:line="415" w:lineRule="auto"/>
      <w:ind w:firstLine="200" w:firstLineChars="200"/>
      <w:outlineLvl w:val="2"/>
    </w:pPr>
    <w:rPr>
      <w:b/>
      <w:bCs/>
      <w:sz w:val="32"/>
      <w:szCs w:val="32"/>
    </w:rPr>
  </w:style>
  <w:style w:type="paragraph" w:styleId="6">
    <w:name w:val="heading 5"/>
    <w:basedOn w:val="1"/>
    <w:next w:val="1"/>
    <w:link w:val="43"/>
    <w:qFormat/>
    <w:uiPriority w:val="0"/>
    <w:pPr>
      <w:keepNext/>
      <w:keepLines/>
      <w:spacing w:before="280" w:after="290" w:line="376" w:lineRule="auto"/>
      <w:outlineLvl w:val="4"/>
    </w:pPr>
    <w:rPr>
      <w:b/>
      <w:bCs/>
      <w:sz w:val="28"/>
      <w:szCs w:val="28"/>
    </w:rPr>
  </w:style>
  <w:style w:type="character" w:default="1" w:styleId="18">
    <w:name w:val="Default Paragraph Font"/>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7">
    <w:name w:val="annotation subject"/>
    <w:basedOn w:val="8"/>
    <w:next w:val="8"/>
    <w:link w:val="50"/>
    <w:semiHidden/>
    <w:qFormat/>
    <w:uiPriority w:val="0"/>
    <w:rPr>
      <w:b/>
      <w:bCs/>
    </w:rPr>
  </w:style>
  <w:style w:type="paragraph" w:styleId="8">
    <w:name w:val="annotation text"/>
    <w:basedOn w:val="1"/>
    <w:link w:val="49"/>
    <w:semiHidden/>
    <w:qFormat/>
    <w:uiPriority w:val="0"/>
    <w:pPr>
      <w:jc w:val="left"/>
    </w:pPr>
  </w:style>
  <w:style w:type="paragraph" w:styleId="9">
    <w:name w:val="Document Map"/>
    <w:basedOn w:val="1"/>
    <w:link w:val="47"/>
    <w:semiHidden/>
    <w:qFormat/>
    <w:uiPriority w:val="0"/>
    <w:pPr>
      <w:shd w:val="clear" w:color="auto" w:fill="000080"/>
    </w:pPr>
  </w:style>
  <w:style w:type="paragraph" w:styleId="10">
    <w:name w:val="Body Text Indent"/>
    <w:basedOn w:val="1"/>
    <w:link w:val="44"/>
    <w:qFormat/>
    <w:uiPriority w:val="0"/>
    <w:pPr>
      <w:ind w:firstLine="538" w:firstLineChars="192"/>
    </w:pPr>
    <w:rPr>
      <w:sz w:val="28"/>
    </w:rPr>
  </w:style>
  <w:style w:type="paragraph" w:styleId="11">
    <w:name w:val="toc 3"/>
    <w:basedOn w:val="1"/>
    <w:next w:val="1"/>
    <w:qFormat/>
    <w:uiPriority w:val="39"/>
    <w:pPr>
      <w:ind w:left="400" w:leftChars="400"/>
    </w:pPr>
    <w:rPr>
      <w:sz w:val="24"/>
    </w:rPr>
  </w:style>
  <w:style w:type="paragraph" w:styleId="12">
    <w:name w:val="Balloon Text"/>
    <w:basedOn w:val="1"/>
    <w:link w:val="48"/>
    <w:semiHidden/>
    <w:qFormat/>
    <w:uiPriority w:val="0"/>
    <w:rPr>
      <w:sz w:val="18"/>
      <w:szCs w:val="18"/>
    </w:rPr>
  </w:style>
  <w:style w:type="paragraph" w:styleId="13">
    <w:name w:val="footer"/>
    <w:basedOn w:val="1"/>
    <w:link w:val="45"/>
    <w:qFormat/>
    <w:uiPriority w:val="0"/>
    <w:pPr>
      <w:tabs>
        <w:tab w:val="center" w:pos="4153"/>
        <w:tab w:val="right" w:pos="8306"/>
      </w:tabs>
      <w:snapToGrid w:val="0"/>
      <w:jc w:val="left"/>
    </w:pPr>
    <w:rPr>
      <w:sz w:val="18"/>
      <w:szCs w:val="18"/>
    </w:rPr>
  </w:style>
  <w:style w:type="paragraph" w:styleId="14">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9402"/>
      </w:tabs>
      <w:spacing w:before="50" w:beforeLines="50"/>
      <w:jc w:val="left"/>
    </w:pPr>
    <w:rPr>
      <w:rFonts w:eastAsiaTheme="minorEastAsia"/>
      <w:b/>
      <w:sz w:val="30"/>
    </w:rPr>
  </w:style>
  <w:style w:type="paragraph" w:styleId="16">
    <w:name w:val="toc 2"/>
    <w:basedOn w:val="1"/>
    <w:next w:val="1"/>
    <w:qFormat/>
    <w:uiPriority w:val="39"/>
    <w:pPr>
      <w:tabs>
        <w:tab w:val="right" w:leader="dot" w:pos="9402"/>
      </w:tabs>
      <w:ind w:firstLine="100" w:firstLineChars="100"/>
    </w:pPr>
    <w:rPr>
      <w:color w:val="000000"/>
      <w:sz w:val="28"/>
      <w:szCs w:val="32"/>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9">
    <w:name w:val="Strong"/>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semiHidden/>
    <w:qFormat/>
    <w:uiPriority w:val="0"/>
    <w:rPr>
      <w:sz w:val="21"/>
      <w:szCs w:val="21"/>
    </w:rPr>
  </w:style>
  <w:style w:type="table" w:styleId="24">
    <w:name w:val="Table Grid"/>
    <w:basedOn w:val="23"/>
    <w:semiHidden/>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6">
    <w:name w:val="font6"/>
    <w:basedOn w:val="1"/>
    <w:qFormat/>
    <w:uiPriority w:val="0"/>
    <w:pPr>
      <w:widowControl/>
      <w:spacing w:before="100" w:beforeAutospacing="1" w:after="100" w:afterAutospacing="1"/>
      <w:jc w:val="left"/>
    </w:pPr>
    <w:rPr>
      <w:kern w:val="0"/>
      <w:sz w:val="24"/>
    </w:rPr>
  </w:style>
  <w:style w:type="paragraph" w:customStyle="1" w:styleId="27">
    <w:name w:val="font7"/>
    <w:basedOn w:val="1"/>
    <w:qFormat/>
    <w:uiPriority w:val="0"/>
    <w:pPr>
      <w:widowControl/>
      <w:spacing w:before="100" w:beforeAutospacing="1" w:after="100" w:afterAutospacing="1"/>
      <w:jc w:val="left"/>
    </w:pPr>
    <w:rPr>
      <w:kern w:val="0"/>
      <w:sz w:val="24"/>
    </w:rPr>
  </w:style>
  <w:style w:type="paragraph" w:customStyle="1" w:styleId="28">
    <w:name w:val="font8"/>
    <w:basedOn w:val="1"/>
    <w:qFormat/>
    <w:uiPriority w:val="0"/>
    <w:pPr>
      <w:widowControl/>
      <w:spacing w:before="100" w:beforeAutospacing="1" w:after="100" w:afterAutospacing="1"/>
      <w:jc w:val="left"/>
    </w:pPr>
    <w:rPr>
      <w:kern w:val="0"/>
      <w:sz w:val="20"/>
      <w:szCs w:val="20"/>
    </w:rPr>
  </w:style>
  <w:style w:type="paragraph" w:customStyle="1" w:styleId="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0">
    <w:name w:val="xl25"/>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1">
    <w:name w:val="xl26"/>
    <w:basedOn w:val="1"/>
    <w:qFormat/>
    <w:uiPriority w:val="0"/>
    <w:pPr>
      <w:widowControl/>
      <w:spacing w:before="100" w:beforeAutospacing="1" w:after="100" w:afterAutospacing="1"/>
      <w:jc w:val="center"/>
      <w:textAlignment w:val="center"/>
    </w:pPr>
    <w:rPr>
      <w:rFonts w:ascii="宋体" w:hAnsi="宋体"/>
      <w:b/>
      <w:bCs/>
      <w:kern w:val="0"/>
      <w:sz w:val="32"/>
      <w:szCs w:val="32"/>
    </w:rPr>
  </w:style>
  <w:style w:type="paragraph" w:customStyle="1" w:styleId="32">
    <w:name w:val="xl27"/>
    <w:basedOn w:val="1"/>
    <w:qFormat/>
    <w:uiPriority w:val="0"/>
    <w:pPr>
      <w:widowControl/>
      <w:pBdr>
        <w:bottom w:val="single" w:color="auto" w:sz="4" w:space="0"/>
      </w:pBdr>
      <w:spacing w:before="100" w:beforeAutospacing="1" w:after="100" w:afterAutospacing="1"/>
      <w:jc w:val="right"/>
      <w:textAlignment w:val="center"/>
    </w:pPr>
    <w:rPr>
      <w:rFonts w:ascii="宋体" w:hAnsi="宋体"/>
      <w:kern w:val="0"/>
      <w:sz w:val="20"/>
      <w:szCs w:val="20"/>
    </w:rPr>
  </w:style>
  <w:style w:type="paragraph" w:customStyle="1" w:styleId="33">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34">
    <w:name w:val="xl28"/>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35">
    <w:name w:val="xl29"/>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32"/>
      <w:szCs w:val="32"/>
    </w:rPr>
  </w:style>
  <w:style w:type="paragraph" w:customStyle="1" w:styleId="36">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7">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8">
    <w:name w:val="Char"/>
    <w:basedOn w:val="1"/>
    <w:qFormat/>
    <w:uiPriority w:val="0"/>
    <w:pPr>
      <w:widowControl/>
      <w:spacing w:after="160" w:line="240" w:lineRule="exact"/>
      <w:jc w:val="left"/>
    </w:pPr>
  </w:style>
  <w:style w:type="paragraph" w:customStyle="1" w:styleId="39">
    <w:name w:val="p0"/>
    <w:basedOn w:val="1"/>
    <w:qFormat/>
    <w:uiPriority w:val="0"/>
    <w:pPr>
      <w:widowControl/>
    </w:pPr>
    <w:rPr>
      <w:kern w:val="0"/>
      <w:szCs w:val="21"/>
    </w:rPr>
  </w:style>
  <w:style w:type="character" w:customStyle="1" w:styleId="40">
    <w:name w:val="标题 1 Char"/>
    <w:link w:val="3"/>
    <w:qFormat/>
    <w:uiPriority w:val="0"/>
    <w:rPr>
      <w:rFonts w:ascii="Times New Roman" w:hAnsi="Times New Roman" w:eastAsia="宋体" w:cs="Times New Roman"/>
      <w:b/>
      <w:bCs/>
      <w:kern w:val="44"/>
      <w:sz w:val="44"/>
      <w:szCs w:val="44"/>
    </w:rPr>
  </w:style>
  <w:style w:type="character" w:customStyle="1" w:styleId="41">
    <w:name w:val="标题 2 Char"/>
    <w:link w:val="4"/>
    <w:qFormat/>
    <w:uiPriority w:val="0"/>
    <w:rPr>
      <w:rFonts w:ascii="Arial" w:hAnsi="Arial" w:eastAsia="黑体" w:cs="Times New Roman"/>
      <w:b/>
      <w:bCs/>
      <w:sz w:val="32"/>
      <w:szCs w:val="32"/>
    </w:rPr>
  </w:style>
  <w:style w:type="character" w:customStyle="1" w:styleId="42">
    <w:name w:val="标题 3 Char"/>
    <w:link w:val="5"/>
    <w:qFormat/>
    <w:uiPriority w:val="0"/>
    <w:rPr>
      <w:rFonts w:ascii="Times New Roman" w:hAnsi="Times New Roman" w:eastAsia="宋体" w:cs="Times New Roman"/>
      <w:b/>
      <w:bCs/>
      <w:sz w:val="32"/>
      <w:szCs w:val="32"/>
    </w:rPr>
  </w:style>
  <w:style w:type="character" w:customStyle="1" w:styleId="43">
    <w:name w:val="标题 5 Char"/>
    <w:link w:val="6"/>
    <w:qFormat/>
    <w:uiPriority w:val="0"/>
    <w:rPr>
      <w:rFonts w:ascii="Times New Roman" w:hAnsi="Times New Roman" w:eastAsia="宋体" w:cs="Times New Roman"/>
      <w:b/>
      <w:bCs/>
      <w:sz w:val="28"/>
      <w:szCs w:val="28"/>
    </w:rPr>
  </w:style>
  <w:style w:type="character" w:customStyle="1" w:styleId="44">
    <w:name w:val="正文文本缩进 Char"/>
    <w:link w:val="10"/>
    <w:qFormat/>
    <w:uiPriority w:val="0"/>
    <w:rPr>
      <w:rFonts w:ascii="Times New Roman" w:hAnsi="Times New Roman" w:eastAsia="宋体" w:cs="Times New Roman"/>
      <w:sz w:val="28"/>
      <w:szCs w:val="24"/>
    </w:rPr>
  </w:style>
  <w:style w:type="character" w:customStyle="1" w:styleId="45">
    <w:name w:val="页脚 Char"/>
    <w:link w:val="13"/>
    <w:qFormat/>
    <w:uiPriority w:val="0"/>
    <w:rPr>
      <w:rFonts w:ascii="Times New Roman" w:hAnsi="Times New Roman" w:eastAsia="宋体" w:cs="Times New Roman"/>
      <w:sz w:val="18"/>
      <w:szCs w:val="18"/>
    </w:rPr>
  </w:style>
  <w:style w:type="character" w:customStyle="1" w:styleId="46">
    <w:name w:val="页眉 Char"/>
    <w:link w:val="14"/>
    <w:qFormat/>
    <w:uiPriority w:val="99"/>
    <w:rPr>
      <w:rFonts w:ascii="Times New Roman" w:hAnsi="Times New Roman" w:eastAsia="宋体" w:cs="Times New Roman"/>
      <w:sz w:val="18"/>
      <w:szCs w:val="18"/>
    </w:rPr>
  </w:style>
  <w:style w:type="character" w:customStyle="1" w:styleId="47">
    <w:name w:val="文档结构图 Char"/>
    <w:link w:val="9"/>
    <w:qFormat/>
    <w:uiPriority w:val="0"/>
    <w:rPr>
      <w:rFonts w:ascii="Times New Roman" w:hAnsi="Times New Roman" w:eastAsia="宋体" w:cs="Times New Roman"/>
      <w:szCs w:val="24"/>
      <w:shd w:val="clear" w:color="auto" w:fill="000080"/>
    </w:rPr>
  </w:style>
  <w:style w:type="character" w:customStyle="1" w:styleId="48">
    <w:name w:val="批注框文本 Char"/>
    <w:link w:val="12"/>
    <w:qFormat/>
    <w:uiPriority w:val="0"/>
    <w:rPr>
      <w:rFonts w:ascii="Times New Roman" w:hAnsi="Times New Roman" w:eastAsia="宋体" w:cs="Times New Roman"/>
      <w:sz w:val="18"/>
      <w:szCs w:val="18"/>
    </w:rPr>
  </w:style>
  <w:style w:type="character" w:customStyle="1" w:styleId="49">
    <w:name w:val="批注文字 Char"/>
    <w:link w:val="8"/>
    <w:qFormat/>
    <w:uiPriority w:val="0"/>
    <w:rPr>
      <w:rFonts w:ascii="Times New Roman" w:hAnsi="Times New Roman" w:eastAsia="宋体" w:cs="Times New Roman"/>
      <w:szCs w:val="24"/>
    </w:rPr>
  </w:style>
  <w:style w:type="character" w:customStyle="1" w:styleId="50">
    <w:name w:val="批注主题 Char"/>
    <w:link w:val="7"/>
    <w:qFormat/>
    <w:uiPriority w:val="0"/>
    <w:rPr>
      <w:rFonts w:ascii="Times New Roman" w:hAnsi="Times New Roman" w:eastAsia="宋体" w:cs="Times New Roman"/>
      <w:b/>
      <w:bCs/>
      <w:szCs w:val="24"/>
    </w:rPr>
  </w:style>
  <w:style w:type="character" w:customStyle="1" w:styleId="51">
    <w:name w:val="font41"/>
    <w:qFormat/>
    <w:uiPriority w:val="0"/>
    <w:rPr>
      <w:rFonts w:hint="default" w:ascii="Times New Roman" w:hAnsi="Times New Roman" w:cs="Times New Roman"/>
      <w:color w:val="000000"/>
      <w:sz w:val="24"/>
      <w:szCs w:val="24"/>
      <w:u w:val="none"/>
    </w:rPr>
  </w:style>
  <w:style w:type="character" w:customStyle="1" w:styleId="52">
    <w:name w:val="font01"/>
    <w:qFormat/>
    <w:uiPriority w:val="0"/>
    <w:rPr>
      <w:rFonts w:hint="eastAsia" w:ascii="宋体" w:hAnsi="宋体" w:eastAsia="宋体"/>
      <w:color w:val="FF0000"/>
      <w:sz w:val="24"/>
      <w:szCs w:val="24"/>
      <w:u w:val="none"/>
    </w:rPr>
  </w:style>
  <w:style w:type="character" w:customStyle="1" w:styleId="53">
    <w:name w:val="font11"/>
    <w:qFormat/>
    <w:uiPriority w:val="0"/>
    <w:rPr>
      <w:rFonts w:hint="eastAsia" w:ascii="宋体" w:hAnsi="宋体" w:eastAsia="宋体"/>
      <w:color w:val="000000"/>
      <w:sz w:val="24"/>
      <w:szCs w:val="24"/>
      <w:u w:val="none"/>
    </w:rPr>
  </w:style>
  <w:style w:type="paragraph" w:customStyle="1" w:styleId="54">
    <w:name w:val="p15"/>
    <w:basedOn w:val="1"/>
    <w:qFormat/>
    <w:uiPriority w:val="0"/>
    <w:pPr>
      <w:widowControl/>
    </w:pPr>
    <w:rPr>
      <w:kern w:val="0"/>
      <w:szCs w:val="21"/>
    </w:rPr>
  </w:style>
  <w:style w:type="character" w:customStyle="1" w:styleId="55">
    <w:name w:val="font51"/>
    <w:basedOn w:val="18"/>
    <w:qFormat/>
    <w:uiPriority w:val="0"/>
    <w:rPr>
      <w:rFonts w:hint="default" w:ascii="Times New Roman" w:hAnsi="Times New Roman" w:cs="Times New Roman"/>
      <w:color w:val="000000"/>
      <w:sz w:val="20"/>
      <w:szCs w:val="20"/>
      <w:u w:val="none"/>
    </w:rPr>
  </w:style>
  <w:style w:type="character" w:customStyle="1" w:styleId="56">
    <w:name w:val="font61"/>
    <w:basedOn w:val="1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chart" Target="charts/chart10.xml"/><Relationship Id="rId30" Type="http://schemas.openxmlformats.org/officeDocument/2006/relationships/chart" Target="charts/chart9.xml"/><Relationship Id="rId3" Type="http://schemas.openxmlformats.org/officeDocument/2006/relationships/header" Target="header1.xml"/><Relationship Id="rId29" Type="http://schemas.openxmlformats.org/officeDocument/2006/relationships/chart" Target="charts/chart8.xml"/><Relationship Id="rId28" Type="http://schemas.openxmlformats.org/officeDocument/2006/relationships/chart" Target="charts/chart7.xml"/><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image" Target="media/image1.jpeg"/><Relationship Id="rId15" Type="http://schemas.openxmlformats.org/officeDocument/2006/relationships/chart" Target="charts/chart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s\&#27700;&#36164;&#28304;&#20844;&#25253;\2018\2018&#24180;&#30465;&#20844;&#25253;\2018&#24180;&#37073;&#24030;&#20844;&#25253;-&#38477;&#27700;&#65288;&#34892;&#25919;&#21306;&#35745;&#31639;&#21152;&#20837;&#24041;&#20041;&#24066;&#65289;.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Documents\&#27700;&#36164;&#28304;&#20844;&#25253;\2018\2018&#24180;&#24066;&#20844;&#25253;\2018-&#24066;&#20844;&#25253;&#34920;&#266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uments\&#27700;&#36164;&#28304;&#20844;&#25253;\2018\2018&#24180;&#24066;&#20844;&#25253;\2018-&#24066;&#20844;&#25253;&#34920;&#26684;&#65288;&#35745;&#31639;&#21152;&#20837;&#24041;&#20041;&#24066;&#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cuments\&#27700;&#36164;&#28304;&#20844;&#25253;\2018\2018&#24180;&#24066;&#20844;&#25253;\2018-&#24066;&#20844;&#25253;&#34920;&#26684;&#65288;&#35745;&#31639;&#21152;&#20837;&#24041;&#20041;&#24066;&#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uments\&#27700;&#36164;&#28304;&#20844;&#25253;\2018\2018&#24180;&#24066;&#20844;&#25253;\2018-&#24066;&#20844;&#25253;&#34920;&#26684;&#65288;&#35745;&#31639;&#21152;&#20837;&#24041;&#20041;&#24066;&#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ocuments\&#27700;&#36164;&#28304;&#20844;&#25253;\2018\2018&#24180;&#24066;&#20844;&#25253;\2018-&#24066;&#20844;&#25253;&#34920;&#26684;&#65288;&#35745;&#31639;&#21152;&#20837;&#24041;&#20041;&#24066;&#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cuments\&#27700;&#36164;&#28304;&#20844;&#25253;\2018\2018&#24180;&#24066;&#20844;&#25253;\2018-&#24066;&#20844;&#25253;&#34920;&#26684;&#65288;&#35745;&#31639;&#21152;&#20837;&#24041;&#20041;&#24066;&#652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ocuments\&#27700;&#36164;&#28304;&#20844;&#25253;\2018\2018&#24180;&#24066;&#20844;&#25253;\2018-&#24066;&#20844;&#25253;&#34920;&#26684;&#65288;&#35745;&#31639;&#21152;&#20837;&#24041;&#20041;&#24066;&#65289;.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Documents\&#27700;&#36164;&#28304;&#20844;&#25253;\2018\2018&#24180;&#24066;&#20844;&#25253;\2018-&#24066;&#20844;&#25253;&#34920;&#26684;&#65288;&#35745;&#31639;&#21152;&#20837;&#24041;&#20041;&#24066;&#65289;.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Documents\&#27700;&#36164;&#28304;&#20844;&#25253;\2018\2018&#24180;&#24066;&#20844;&#25253;\2018-&#24066;&#20844;&#25253;&#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6680832979176"/>
          <c:y val="0.0655557590184948"/>
          <c:w val="0.95420739481513"/>
          <c:h val="0.835780992492217"/>
        </c:manualLayout>
      </c:layout>
      <c:barChart>
        <c:barDir val="col"/>
        <c:grouping val="clustered"/>
        <c:varyColors val="0"/>
        <c:ser>
          <c:idx val="0"/>
          <c:order val="0"/>
          <c:spPr>
            <a:gradFill flip="none" rotWithShape="1">
              <a:gsLst>
                <a:gs pos="0">
                  <a:srgbClr val="03D4A8"/>
                </a:gs>
                <a:gs pos="25000">
                  <a:srgbClr val="21D6E0"/>
                </a:gs>
                <a:gs pos="75000">
                  <a:srgbClr val="0087E6"/>
                </a:gs>
                <a:gs pos="100000">
                  <a:schemeClr val="tx2"/>
                </a:gs>
              </a:gsLst>
              <a:lin ang="0" scaled="1"/>
              <a:tileRect/>
            </a:gradFill>
            <a:ln>
              <a:noFill/>
            </a:ln>
          </c:spPr>
          <c:invertIfNegative val="0"/>
          <c:dLbls>
            <c:spPr>
              <a:noFill/>
              <a:ln w="25400">
                <a:noFill/>
              </a:ln>
              <a:effectLst/>
            </c:spPr>
            <c:txPr>
              <a:bodyPr rot="0" spcFirstLastPara="0" vertOverflow="ellipsis" vert="horz" wrap="square" lIns="0" tIns="0" rIns="0" bIns="0" anchor="b" anchorCtr="1"/>
              <a:lstStyle/>
              <a:p>
                <a:pPr>
                  <a:defRPr lang="zh-CN" sz="1200" b="0" i="0" u="none" strike="noStrike" kern="1200" baseline="0">
                    <a:solidFill>
                      <a:schemeClr val="tx1"/>
                    </a:solidFill>
                    <a:latin typeface="+mn-ea"/>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'[2018年郑州公报-降水（新模板）.xlsx]行政分区'!$E$121:$P$121</c:f>
              <c:strCache>
                <c:ptCount val="12"/>
                <c:pt idx="0" c:formatCode="0.0_);[Red]\(0.0\)">
                  <c:v>一月</c:v>
                </c:pt>
                <c:pt idx="1" c:formatCode="0.0_);[Red]\(0.0\)">
                  <c:v>二月</c:v>
                </c:pt>
                <c:pt idx="2" c:formatCode="0.0_);[Red]\(0.0\)">
                  <c:v>三月</c:v>
                </c:pt>
                <c:pt idx="3" c:formatCode="0.0_);[Red]\(0.0\)">
                  <c:v>四月</c:v>
                </c:pt>
                <c:pt idx="4" c:formatCode="0.0_);[Red]\(0.0\)">
                  <c:v>五月</c:v>
                </c:pt>
                <c:pt idx="5" c:formatCode="0.0_);[Red]\(0.0\)">
                  <c:v>六月</c:v>
                </c:pt>
                <c:pt idx="6" c:formatCode="0.0_);[Red]\(0.0\)">
                  <c:v>七月</c:v>
                </c:pt>
                <c:pt idx="7" c:formatCode="0.0_);[Red]\(0.0\)">
                  <c:v>八月</c:v>
                </c:pt>
                <c:pt idx="8" c:formatCode="0.0_);[Red]\(0.0\)">
                  <c:v>九月</c:v>
                </c:pt>
                <c:pt idx="9" c:formatCode="0.0_);[Red]\(0.0\)">
                  <c:v>十月</c:v>
                </c:pt>
                <c:pt idx="10" c:formatCode="0.0_);[Red]\(0.0\)">
                  <c:v>十一月</c:v>
                </c:pt>
                <c:pt idx="11" c:formatCode="0.0_);[Red]\(0.0\)">
                  <c:v>十二月</c:v>
                </c:pt>
              </c:strCache>
            </c:strRef>
          </c:cat>
          <c:val>
            <c:numRef>
              <c:f>'[2018年郑州公报-降水（新模板）.xlsx]行政分区'!$E$133:$P$133</c:f>
              <c:numCache>
                <c:formatCode>0.0_);[Red]\(0.0\)</c:formatCode>
                <c:ptCount val="12"/>
                <c:pt idx="0">
                  <c:v>14.2</c:v>
                </c:pt>
                <c:pt idx="1">
                  <c:v>5.4</c:v>
                </c:pt>
                <c:pt idx="2">
                  <c:v>20.7</c:v>
                </c:pt>
                <c:pt idx="3">
                  <c:v>49.7</c:v>
                </c:pt>
                <c:pt idx="4">
                  <c:v>78.4</c:v>
                </c:pt>
                <c:pt idx="5">
                  <c:v>63</c:v>
                </c:pt>
                <c:pt idx="6">
                  <c:v>84.4</c:v>
                </c:pt>
                <c:pt idx="7">
                  <c:v>120.5</c:v>
                </c:pt>
                <c:pt idx="8">
                  <c:v>89.1</c:v>
                </c:pt>
                <c:pt idx="9">
                  <c:v>0.3</c:v>
                </c:pt>
                <c:pt idx="10">
                  <c:v>22.6</c:v>
                </c:pt>
                <c:pt idx="11">
                  <c:v>11.1</c:v>
                </c:pt>
              </c:numCache>
            </c:numRef>
          </c:val>
        </c:ser>
        <c:dLbls>
          <c:showLegendKey val="0"/>
          <c:showVal val="1"/>
          <c:showCatName val="0"/>
          <c:showSerName val="0"/>
          <c:showPercent val="0"/>
          <c:showBubbleSize val="0"/>
        </c:dLbls>
        <c:gapWidth val="150"/>
        <c:axId val="198905216"/>
        <c:axId val="198936832"/>
      </c:barChart>
      <c:catAx>
        <c:axId val="198905216"/>
        <c:scaling>
          <c:orientation val="minMax"/>
        </c:scaling>
        <c:delete val="0"/>
        <c:axPos val="b"/>
        <c:majorGridlines/>
        <c:numFmt formatCode="General" sourceLinked="1"/>
        <c:majorTickMark val="in"/>
        <c:minorTickMark val="none"/>
        <c:tickLblPos val="nextTo"/>
        <c:spPr>
          <a:ln w="9525" cap="flat" cmpd="sng" algn="ctr">
            <a:solidFill>
              <a:schemeClr val="tx1"/>
            </a:solidFill>
            <a:prstDash val="solid"/>
            <a:round/>
          </a:ln>
        </c:spPr>
        <c:txPr>
          <a:bodyPr rot="0" spcFirstLastPara="0" vertOverflow="ellipsis" vert="horz" wrap="square" anchor="ctr" anchorCtr="1"/>
          <a:lstStyle/>
          <a:p>
            <a:pPr>
              <a:defRPr lang="zh-CN" sz="1200" b="0" i="0" u="none" strike="noStrike" kern="1200" baseline="0">
                <a:solidFill>
                  <a:schemeClr val="tx1"/>
                </a:solidFill>
                <a:latin typeface="+mn-ea"/>
                <a:ea typeface="+mn-ea"/>
                <a:cs typeface="+mn-cs"/>
              </a:defRPr>
            </a:pPr>
          </a:p>
        </c:txPr>
        <c:crossAx val="198936832"/>
        <c:crosses val="autoZero"/>
        <c:auto val="1"/>
        <c:lblAlgn val="ctr"/>
        <c:lblOffset val="100"/>
        <c:tickLblSkip val="1"/>
        <c:noMultiLvlLbl val="0"/>
      </c:catAx>
      <c:valAx>
        <c:axId val="198936832"/>
        <c:scaling>
          <c:orientation val="minMax"/>
        </c:scaling>
        <c:delete val="1"/>
        <c:axPos val="l"/>
        <c:majorGridlines>
          <c:spPr>
            <a:ln w="9525" cap="flat" cmpd="sng" algn="ctr">
              <a:noFill/>
              <a:prstDash val="solid"/>
              <a:round/>
            </a:ln>
          </c:spPr>
        </c:majorGridlines>
        <c:title>
          <c:tx>
            <c:rich>
              <a:bodyPr rot="0" spcFirstLastPara="0" vertOverflow="ellipsis" vert="horz" wrap="square" anchor="ctr" anchorCtr="1"/>
              <a:lstStyle/>
              <a:p>
                <a:pPr>
                  <a:defRPr lang="zh-CN" sz="1200" b="1" i="0" u="none" strike="noStrike" kern="1200" baseline="0">
                    <a:solidFill>
                      <a:schemeClr val="tx1"/>
                    </a:solidFill>
                    <a:latin typeface="+mn-ea"/>
                    <a:ea typeface="+mn-ea"/>
                    <a:cs typeface="+mn-cs"/>
                  </a:defRPr>
                </a:pPr>
                <a:r>
                  <a:rPr lang="en-US" sz="1200"/>
                  <a:t>P(mm)</a:t>
                </a:r>
                <a:endParaRPr lang="en-US" sz="1200"/>
              </a:p>
            </c:rich>
          </c:tx>
          <c:layout>
            <c:manualLayout>
              <c:xMode val="edge"/>
              <c:yMode val="edge"/>
              <c:x val="0.0215142947824317"/>
              <c:y val="0.00549349935909174"/>
            </c:manualLayout>
          </c:layout>
          <c:overlay val="0"/>
          <c:spPr>
            <a:noFill/>
            <a:ln w="25400">
              <a:noFill/>
            </a:ln>
          </c:spPr>
        </c:title>
        <c:numFmt formatCode="0.0_);[Red]\(0.0\)" sourceLinked="1"/>
        <c:majorTickMark val="in"/>
        <c:minorTickMark val="none"/>
        <c:tickLblPos val="nextTo"/>
        <c:txPr>
          <a:bodyPr rot="0" spcFirstLastPara="0" vertOverflow="ellipsis" vert="horz" wrap="square" anchor="ctr" anchorCtr="1"/>
          <a:lstStyle/>
          <a:p>
            <a:pPr>
              <a:defRPr lang="zh-CN" sz="1200" b="0" i="0" u="none" strike="noStrike" kern="1200" baseline="0">
                <a:solidFill>
                  <a:schemeClr val="tx1"/>
                </a:solidFill>
                <a:latin typeface="+mn-ea"/>
                <a:ea typeface="+mn-ea"/>
                <a:cs typeface="+mn-cs"/>
              </a:defRPr>
            </a:pPr>
          </a:p>
        </c:txPr>
        <c:crossAx val="198905216"/>
        <c:crosses val="autoZero"/>
        <c:crossBetween val="between"/>
      </c:valAx>
      <c:spPr>
        <a:noFill/>
        <a:ln>
          <a:solidFill>
            <a:schemeClr val="bg1">
              <a:lumMod val="50000"/>
            </a:schemeClr>
          </a:solidFill>
        </a:ln>
      </c:spPr>
    </c:plotArea>
    <c:plotVisOnly val="1"/>
    <c:dispBlanksAs val="gap"/>
    <c:showDLblsOverMax val="0"/>
  </c:chart>
  <c:spPr>
    <a:noFill/>
    <a:ln w="9525" cap="flat" cmpd="sng" algn="ctr">
      <a:noFill/>
      <a:prstDash val="solid"/>
      <a:round/>
    </a:ln>
  </c:spPr>
  <c:txPr>
    <a:bodyPr/>
    <a:lstStyle/>
    <a:p>
      <a:pPr>
        <a:defRPr lang="zh-CN" sz="1200">
          <a:latin typeface="+mn-ea"/>
          <a:ea typeface="+mn-ea"/>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01167152980408"/>
          <c:y val="0.0324160447761194"/>
          <c:w val="0.9157148812005"/>
          <c:h val="0.871128731343284"/>
        </c:manualLayout>
      </c:layout>
      <c:barChart>
        <c:barDir val="col"/>
        <c:grouping val="clustered"/>
        <c:varyColors val="0"/>
        <c:ser>
          <c:idx val="0"/>
          <c:order val="0"/>
          <c:tx>
            <c:strRef>
              <c:f>'[2018-市公报表格.xlsx]18'!$K$134</c:f>
              <c:strCache>
                <c:ptCount val="1"/>
                <c:pt idx="0">
                  <c:v>双因子评价达标率</c:v>
                </c:pt>
              </c:strCache>
            </c:strRef>
          </c:tx>
          <c:spPr>
            <a:gradFill>
              <a:gsLst>
                <a:gs pos="0">
                  <a:srgbClr val="9EE256"/>
                </a:gs>
                <a:gs pos="100000">
                  <a:srgbClr val="52762D"/>
                </a:gs>
              </a:gsLst>
              <a:lin ang="10800000" scaled="0"/>
            </a:gradFill>
            <a:ln>
              <a:noFill/>
            </a:ln>
            <a:effectLst>
              <a:innerShdw blurRad="63500" dist="50800" dir="10800000">
                <a:schemeClr val="bg2">
                  <a:lumMod val="25000"/>
                  <a:alpha val="50000"/>
                </a:schemeClr>
              </a:innerShdw>
            </a:effectLst>
          </c:spPr>
          <c:invertIfNegative val="0"/>
          <c:dPt>
            <c:idx val="3"/>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ea"/>
                    <a:ea typeface="+mn-ea"/>
                    <a:cs typeface="+mn-ea"/>
                    <a:sym typeface="+mn-ea"/>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'[2018-市公报表格.xlsx]18'!$E$93:$P$93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'[2018-市公报表格.xlsx]18'!$E$132:$P$132</c:f>
              <c:numCache>
                <c:formatCode>0.0%</c:formatCode>
                <c:ptCount val="12"/>
                <c:pt idx="0">
                  <c:v>0.64</c:v>
                </c:pt>
                <c:pt idx="1">
                  <c:v>0.692</c:v>
                </c:pt>
                <c:pt idx="2">
                  <c:v>0.692</c:v>
                </c:pt>
                <c:pt idx="3">
                  <c:v>0.692</c:v>
                </c:pt>
                <c:pt idx="4">
                  <c:v>0.731</c:v>
                </c:pt>
                <c:pt idx="5">
                  <c:v>0.808</c:v>
                </c:pt>
                <c:pt idx="6">
                  <c:v>0.885</c:v>
                </c:pt>
                <c:pt idx="7">
                  <c:v>0.808</c:v>
                </c:pt>
                <c:pt idx="8">
                  <c:v>0.923</c:v>
                </c:pt>
                <c:pt idx="9">
                  <c:v>0.961</c:v>
                </c:pt>
                <c:pt idx="10">
                  <c:v>0.846</c:v>
                </c:pt>
                <c:pt idx="11">
                  <c:v>0.885</c:v>
                </c:pt>
              </c:numCache>
            </c:numRef>
          </c:val>
        </c:ser>
        <c:dLbls>
          <c:showLegendKey val="0"/>
          <c:showVal val="1"/>
          <c:showCatName val="0"/>
          <c:showSerName val="0"/>
          <c:showPercent val="0"/>
          <c:showBubbleSize val="0"/>
        </c:dLbls>
        <c:gapWidth val="126"/>
        <c:overlap val="-12"/>
        <c:axId val="562098622"/>
        <c:axId val="227959457"/>
      </c:barChart>
      <c:catAx>
        <c:axId val="562098622"/>
        <c:scaling>
          <c:orientation val="minMax"/>
        </c:scaling>
        <c:delete val="0"/>
        <c:axPos val="b"/>
        <c:majorTickMark val="none"/>
        <c:minorTickMark val="none"/>
        <c:tickLblPos val="nextTo"/>
        <c:spPr>
          <a:noFill/>
          <a:ln w="12700" cap="flat" cmpd="sng" algn="ctr">
            <a:solidFill>
              <a:schemeClr val="tx1"/>
            </a:solidFill>
            <a:prstDash val="solid"/>
            <a:roun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mn-ea"/>
                <a:ea typeface="+mn-ea"/>
                <a:cs typeface="+mn-ea"/>
                <a:sym typeface="+mn-ea"/>
              </a:defRPr>
            </a:pPr>
          </a:p>
        </c:txPr>
        <c:crossAx val="227959457"/>
        <c:crosses val="autoZero"/>
        <c:auto val="1"/>
        <c:lblAlgn val="ctr"/>
        <c:lblOffset val="100"/>
        <c:noMultiLvlLbl val="0"/>
      </c:catAx>
      <c:valAx>
        <c:axId val="22795945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in"/>
        <c:minorTickMark val="none"/>
        <c:tickLblPos val="nextTo"/>
        <c:spPr>
          <a:noFill/>
          <a:ln w="12700" cmpd="sng">
            <a:solidFill>
              <a:schemeClr val="tx1"/>
            </a:solidFill>
            <a:prstDash val="soli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mn-ea"/>
                <a:ea typeface="+mn-ea"/>
                <a:cs typeface="+mn-ea"/>
                <a:sym typeface="+mn-ea"/>
              </a:defRPr>
            </a:pPr>
          </a:p>
        </c:txPr>
        <c:crossAx val="562098622"/>
        <c:crosses val="autoZero"/>
        <c:crossBetween val="between"/>
        <c:majorUnit val="0.2"/>
      </c:valAx>
      <c:spPr>
        <a:noFill/>
        <a:ln>
          <a:noFill/>
        </a:ln>
        <a:effectLst/>
      </c:spPr>
    </c:plotArea>
    <c:legend>
      <c:legendPos val="b"/>
      <c:layout>
        <c:manualLayout>
          <c:xMode val="edge"/>
          <c:yMode val="edge"/>
          <c:x val="0.126934206606896"/>
          <c:y val="0.0359426681367144"/>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ea"/>
              <a:ea typeface="+mn-ea"/>
              <a:cs typeface="+mn-ea"/>
              <a:sym typeface="+mn-ea"/>
            </a:defRPr>
          </a:pPr>
        </a:p>
      </c:txPr>
    </c:legend>
    <c:plotVisOnly val="1"/>
    <c:dispBlanksAs val="gap"/>
    <c:showDLblsOverMax val="0"/>
  </c:chart>
  <c:spPr>
    <a:noFill/>
    <a:ln w="9525" cap="flat" cmpd="sng" algn="ctr">
      <a:noFill/>
      <a:round/>
    </a:ln>
    <a:effectLst/>
  </c:spPr>
  <c:txPr>
    <a:bodyPr/>
    <a:lstStyle/>
    <a:p>
      <a:pPr>
        <a:defRPr lang="zh-CN" sz="1200">
          <a:latin typeface="+mn-ea"/>
          <a:ea typeface="+mn-ea"/>
          <a:cs typeface="+mn-ea"/>
          <a:sym typeface="+mn-ea"/>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9489687433553"/>
          <c:y val="0.0612771519313279"/>
          <c:w val="0.883499893684882"/>
          <c:h val="0.849580888516345"/>
        </c:manualLayout>
      </c:layout>
      <c:barChart>
        <c:barDir val="col"/>
        <c:grouping val="clustered"/>
        <c:varyColors val="0"/>
        <c:ser>
          <c:idx val="0"/>
          <c:order val="0"/>
          <c:tx>
            <c:strRef>
              <c:f>'[2018-市公报表格（计算加入巩义市）.xlsx]表1、3'!$C$20</c:f>
              <c:strCache>
                <c:ptCount val="1"/>
                <c:pt idx="0">
                  <c:v>地表水资源量</c:v>
                </c:pt>
              </c:strCache>
            </c:strRef>
          </c:tx>
          <c:spPr>
            <a:gradFill flip="none" rotWithShape="1">
              <a:gsLst>
                <a:gs pos="0">
                  <a:schemeClr val="accent5">
                    <a:lumMod val="60000"/>
                    <a:lumOff val="40000"/>
                  </a:schemeClr>
                </a:gs>
                <a:gs pos="25000">
                  <a:srgbClr val="21D6E0"/>
                </a:gs>
                <a:gs pos="75000">
                  <a:srgbClr val="0087E6"/>
                </a:gs>
                <a:gs pos="100000">
                  <a:srgbClr val="005CBF"/>
                </a:gs>
              </a:gsLst>
              <a:lin ang="0" scaled="1"/>
              <a:tileRect/>
            </a:gradFill>
            <a:ln w="12700">
              <a:noFill/>
              <a:prstDash val="solid"/>
            </a:ln>
          </c:spPr>
          <c:invertIfNegative val="0"/>
          <c:dLbls>
            <c:dLbl>
              <c:idx val="0"/>
              <c:layout>
                <c:manualLayout>
                  <c:x val="0.00296849062787565"/>
                  <c:y val="-0.01933746989608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72043010752689"/>
                  <c:y val="0.01658374792703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11353822707645"/>
                  <c:y val="-0.007265248560347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05209909044029"/>
                  <c:y val="-0.01020904660690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293016552489229"/>
                  <c:y val="0.008374178477124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692852395571255"/>
                  <c:y val="0.006626709867249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0.00\)" sourceLinked="0"/>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'[2018-市公报表格（计算加入巩义市）.xlsx]表1、3'!$A$5:$A$13</c:f>
              <c:strCache>
                <c:ptCount val="9"/>
                <c:pt idx="0">
                  <c:v>新密市</c:v>
                </c:pt>
                <c:pt idx="1">
                  <c:v>新郑市</c:v>
                </c:pt>
                <c:pt idx="2">
                  <c:v>荥阳市</c:v>
                </c:pt>
                <c:pt idx="3">
                  <c:v>登封市</c:v>
                </c:pt>
                <c:pt idx="4">
                  <c:v>中牟县</c:v>
                </c:pt>
                <c:pt idx="5">
                  <c:v>郑州市区</c:v>
                </c:pt>
                <c:pt idx="6">
                  <c:v>航空港区</c:v>
                </c:pt>
                <c:pt idx="7">
                  <c:v>上街区</c:v>
                </c:pt>
                <c:pt idx="8">
                  <c:v>巩义市</c:v>
                </c:pt>
              </c:strCache>
            </c:strRef>
          </c:cat>
          <c:val>
            <c:numRef>
              <c:f>'[2018-市公报表格（计算加入巩义市）.xlsx]表1、3'!$C$22:$C$30</c:f>
              <c:numCache>
                <c:formatCode>0.0000_);[Red]\(0.0000\)</c:formatCode>
                <c:ptCount val="9"/>
                <c:pt idx="0">
                  <c:v>0.5385</c:v>
                </c:pt>
                <c:pt idx="1">
                  <c:v>0.3347</c:v>
                </c:pt>
                <c:pt idx="2">
                  <c:v>0.545</c:v>
                </c:pt>
                <c:pt idx="3">
                  <c:v>0.4342</c:v>
                </c:pt>
                <c:pt idx="4">
                  <c:v>0.5356</c:v>
                </c:pt>
                <c:pt idx="5">
                  <c:v>0.4885</c:v>
                </c:pt>
                <c:pt idx="6">
                  <c:v>0.1941</c:v>
                </c:pt>
                <c:pt idx="7">
                  <c:v>0.0266</c:v>
                </c:pt>
                <c:pt idx="8">
                  <c:v>0.5452</c:v>
                </c:pt>
              </c:numCache>
            </c:numRef>
          </c:val>
        </c:ser>
        <c:ser>
          <c:idx val="1"/>
          <c:order val="1"/>
          <c:tx>
            <c:strRef>
              <c:f>'[2018-市公报表格（计算加入巩义市）.xlsx]表1、3'!$E$20</c:f>
              <c:strCache>
                <c:ptCount val="1"/>
                <c:pt idx="0">
                  <c:v>多年平均</c:v>
                </c:pt>
              </c:strCache>
            </c:strRef>
          </c:tx>
          <c:spPr>
            <a:gradFill flip="none" rotWithShape="1">
              <a:gsLst>
                <a:gs pos="0">
                  <a:srgbClr val="F3541A"/>
                </a:gs>
                <a:gs pos="64999">
                  <a:srgbClr val="CD7E57"/>
                </a:gs>
                <a:gs pos="100000">
                  <a:srgbClr val="D1C39F"/>
                </a:gs>
              </a:gsLst>
              <a:lin ang="10800000" scaled="1"/>
              <a:tileRect/>
            </a:gradFill>
            <a:ln>
              <a:noFill/>
            </a:ln>
          </c:spPr>
          <c:invertIfNegative val="0"/>
          <c:dLbls>
            <c:dLbl>
              <c:idx val="0"/>
              <c:layout>
                <c:manualLayout>
                  <c:x val="0.00042262218489124"/>
                  <c:y val="0.007038670004556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68980664657843"/>
                  <c:y val="0.01017552291389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325341973449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2319348453537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0.00\)" sourceLinked="0"/>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'[2018-市公报表格（计算加入巩义市）.xlsx]表1、3'!$A$5:$A$13</c:f>
              <c:strCache>
                <c:ptCount val="9"/>
                <c:pt idx="0">
                  <c:v>新密市</c:v>
                </c:pt>
                <c:pt idx="1">
                  <c:v>新郑市</c:v>
                </c:pt>
                <c:pt idx="2">
                  <c:v>荥阳市</c:v>
                </c:pt>
                <c:pt idx="3">
                  <c:v>登封市</c:v>
                </c:pt>
                <c:pt idx="4">
                  <c:v>中牟县</c:v>
                </c:pt>
                <c:pt idx="5">
                  <c:v>郑州市区</c:v>
                </c:pt>
                <c:pt idx="6">
                  <c:v>航空港区</c:v>
                </c:pt>
                <c:pt idx="7">
                  <c:v>上街区</c:v>
                </c:pt>
                <c:pt idx="8">
                  <c:v>巩义市</c:v>
                </c:pt>
              </c:strCache>
            </c:strRef>
          </c:cat>
          <c:val>
            <c:numRef>
              <c:f>'[2018-市公报表格（计算加入巩义市）.xlsx]表1、3'!$E$22:$E$30</c:f>
              <c:numCache>
                <c:formatCode>0.0000_);[Red]\(0.0000\)</c:formatCode>
                <c:ptCount val="9"/>
                <c:pt idx="0">
                  <c:v>0.9669</c:v>
                </c:pt>
                <c:pt idx="1">
                  <c:v>0.63246285</c:v>
                </c:pt>
                <c:pt idx="2">
                  <c:v>0.75825</c:v>
                </c:pt>
                <c:pt idx="3">
                  <c:v>1.51902</c:v>
                </c:pt>
                <c:pt idx="4">
                  <c:v>0.92141337</c:v>
                </c:pt>
                <c:pt idx="5">
                  <c:v>0.81456</c:v>
                </c:pt>
                <c:pt idx="6">
                  <c:v>0.28745378</c:v>
                </c:pt>
                <c:pt idx="7">
                  <c:v>0.04841</c:v>
                </c:pt>
                <c:pt idx="8">
                  <c:v>1.08749</c:v>
                </c:pt>
              </c:numCache>
            </c:numRef>
          </c:val>
        </c:ser>
        <c:dLbls>
          <c:showLegendKey val="0"/>
          <c:showVal val="0"/>
          <c:showCatName val="0"/>
          <c:showSerName val="0"/>
          <c:showPercent val="0"/>
          <c:showBubbleSize val="0"/>
        </c:dLbls>
        <c:gapWidth val="156"/>
        <c:overlap val="-6"/>
        <c:axId val="200101888"/>
        <c:axId val="200103424"/>
      </c:barChart>
      <c:catAx>
        <c:axId val="200101888"/>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00103424"/>
        <c:crosses val="autoZero"/>
        <c:auto val="1"/>
        <c:lblAlgn val="ctr"/>
        <c:lblOffset val="100"/>
        <c:tickLblSkip val="1"/>
        <c:noMultiLvlLbl val="0"/>
      </c:catAx>
      <c:valAx>
        <c:axId val="200103424"/>
        <c:scaling>
          <c:orientation val="minMax"/>
        </c:scaling>
        <c:delete val="0"/>
        <c:axPos val="l"/>
        <c:majorGridlines>
          <c:spPr>
            <a:ln w="9525" cap="flat" cmpd="sng" algn="ctr">
              <a:solidFill>
                <a:srgbClr val="000000"/>
              </a:solidFill>
              <a:prstDash val="sysDot"/>
              <a:round/>
            </a:ln>
          </c:spPr>
        </c:majorGridlines>
        <c:title>
          <c:tx>
            <c:rich>
              <a:bodyPr rot="-54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sz="1000"/>
                  <a:t>地表水资源量（亿</a:t>
                </a:r>
                <a:r>
                  <a:rPr lang="en-US" altLang="zh-CN" sz="1000"/>
                  <a:t>m</a:t>
                </a:r>
                <a:r>
                  <a:rPr lang="en-US" sz="1000" baseline="30000"/>
                  <a:t>3</a:t>
                </a:r>
                <a:r>
                  <a:rPr lang="zh-CN" sz="1000"/>
                  <a:t>）</a:t>
                </a:r>
                <a:endParaRPr lang="zh-CN" sz="1000"/>
              </a:p>
            </c:rich>
          </c:tx>
          <c:layout>
            <c:manualLayout>
              <c:xMode val="edge"/>
              <c:yMode val="edge"/>
              <c:x val="0.00451338201474456"/>
              <c:y val="0.239673326295397"/>
            </c:manualLayout>
          </c:layout>
          <c:overlay val="0"/>
          <c:spPr>
            <a:noFill/>
            <a:ln w="25400">
              <a:noFill/>
            </a:ln>
          </c:spPr>
        </c:title>
        <c:numFmt formatCode="0.0_);[Red]\(0.0\)" sourceLinked="0"/>
        <c:majorTickMark val="in"/>
        <c:minorTickMark val="none"/>
        <c:tickLblPos val="nextTo"/>
        <c:spPr>
          <a:ln w="952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00101888"/>
        <c:crosses val="autoZero"/>
        <c:crossBetween val="between"/>
        <c:majorUnit val="0.5"/>
        <c:minorUnit val="0.1"/>
      </c:valAx>
      <c:spPr>
        <a:noFill/>
        <a:ln w="3175">
          <a:noFill/>
        </a:ln>
      </c:spPr>
    </c:plotArea>
    <c:legend>
      <c:legendPos val="b"/>
      <c:legendEntry>
        <c:idx val="0"/>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Entry>
      <c:legendEntry>
        <c:idx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Entry>
      <c:layout>
        <c:manualLayout>
          <c:xMode val="edge"/>
          <c:yMode val="edge"/>
          <c:x val="0.56758982241476"/>
          <c:y val="0.0762521451801561"/>
          <c:w val="0.418303493829306"/>
          <c:h val="0.0717711545049675"/>
        </c:manualLayout>
      </c:layout>
      <c:overlay val="0"/>
      <c:spPr>
        <a:noFill/>
        <a:ln w="25400">
          <a:noFill/>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0" vertOverflow="ellipsis" vert="horz" wrap="square" anchor="ctr" anchorCtr="1"/>
          <a:lstStyle/>
          <a:p>
            <a:pPr>
              <a:defRPr lang="zh-CN" sz="1100" b="0" i="0" u="none" strike="noStrike" kern="1200" baseline="0">
                <a:solidFill>
                  <a:schemeClr val="tx1"/>
                </a:solidFill>
                <a:latin typeface="+mn-ea"/>
                <a:ea typeface="+mn-ea"/>
                <a:cs typeface="+mn-ea"/>
                <a:sym typeface="+mn-ea"/>
              </a:defRPr>
            </a:pPr>
            <a:r>
              <a:rPr lang="zh-CN" sz="1100">
                <a:latin typeface="+mn-ea"/>
                <a:ea typeface="+mn-ea"/>
                <a:cs typeface="+mn-ea"/>
                <a:sym typeface="+mn-ea"/>
              </a:rPr>
              <a:t>年蓄变量（万米</a:t>
            </a:r>
            <a:r>
              <a:rPr lang="en-US" sz="1100" baseline="30000">
                <a:latin typeface="+mn-ea"/>
                <a:ea typeface="+mn-ea"/>
                <a:cs typeface="+mn-ea"/>
                <a:sym typeface="+mn-ea"/>
              </a:rPr>
              <a:t>3</a:t>
            </a:r>
            <a:r>
              <a:rPr lang="zh-CN" sz="1100">
                <a:latin typeface="+mn-ea"/>
                <a:ea typeface="+mn-ea"/>
                <a:cs typeface="+mn-ea"/>
                <a:sym typeface="+mn-ea"/>
              </a:rPr>
              <a:t>）</a:t>
            </a:r>
            <a:endParaRPr lang="zh-CN" sz="1100">
              <a:latin typeface="+mn-ea"/>
              <a:ea typeface="+mn-ea"/>
              <a:cs typeface="+mn-ea"/>
              <a:sym typeface="+mn-ea"/>
            </a:endParaRPr>
          </a:p>
        </c:rich>
      </c:tx>
      <c:layout>
        <c:manualLayout>
          <c:xMode val="edge"/>
          <c:yMode val="edge"/>
          <c:x val="0.037465320618128"/>
          <c:y val="0.0307240379611214"/>
        </c:manualLayout>
      </c:layout>
      <c:overlay val="0"/>
    </c:title>
    <c:autoTitleDeleted val="0"/>
    <c:plotArea>
      <c:layout>
        <c:manualLayout>
          <c:layoutTarget val="inner"/>
          <c:xMode val="edge"/>
          <c:yMode val="edge"/>
          <c:x val="0.0926494446524398"/>
          <c:y val="0.129251700680272"/>
          <c:w val="0.863626606764009"/>
          <c:h val="0.659410430839002"/>
        </c:manualLayout>
      </c:layout>
      <c:barChart>
        <c:barDir val="col"/>
        <c:grouping val="clustered"/>
        <c:varyColors val="0"/>
        <c:ser>
          <c:idx val="0"/>
          <c:order val="0"/>
          <c:tx>
            <c:strRef>
              <c:f>'[2018-市公报表格（计算加入巩义市）.xlsx]5'!$O$3:$O$4</c:f>
              <c:strCache>
                <c:ptCount val="1"/>
                <c:pt idx="0">
                  <c:v>年蓄变量（万米3）</c:v>
                </c:pt>
              </c:strCache>
            </c:strRef>
          </c:tx>
          <c:spPr>
            <a:solidFill>
              <a:srgbClr val="00B05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invertIfNegative val="0"/>
          <c:dPt>
            <c:idx val="2"/>
            <c:invertIfNegative val="0"/>
            <c:bubble3D val="0"/>
            <c:spPr>
              <a:solidFill>
                <a:srgbClr val="FFC00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Pt>
            <c:idx val="3"/>
            <c:invertIfNegative val="0"/>
            <c:bubble3D val="0"/>
            <c:spPr>
              <a:solidFill>
                <a:srgbClr val="FFC00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Pt>
            <c:idx val="5"/>
            <c:invertIfNegative val="0"/>
            <c:bubble3D val="0"/>
            <c:spPr>
              <a:solidFill>
                <a:srgbClr val="FFC00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Pt>
            <c:idx val="6"/>
            <c:invertIfNegative val="0"/>
            <c:bubble3D val="0"/>
            <c:spPr>
              <a:solidFill>
                <a:srgbClr val="00B05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Pt>
            <c:idx val="7"/>
            <c:invertIfNegative val="0"/>
            <c:bubble3D val="0"/>
            <c:spPr>
              <a:solidFill>
                <a:srgbClr val="00B05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Pt>
            <c:idx val="8"/>
            <c:invertIfNegative val="0"/>
            <c:bubble3D val="0"/>
            <c:spPr>
              <a:solidFill>
                <a:srgbClr val="00B05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Pt>
            <c:idx val="9"/>
            <c:invertIfNegative val="0"/>
            <c:bubble3D val="0"/>
            <c:spPr>
              <a:solidFill>
                <a:srgbClr val="FFC00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Pt>
            <c:idx val="11"/>
            <c:invertIfNegative val="0"/>
            <c:bubble3D val="0"/>
            <c:spPr>
              <a:solidFill>
                <a:srgbClr val="00B050"/>
              </a:solidFill>
              <a:ln>
                <a:noFill/>
              </a:ln>
              <a:effectLst>
                <a:outerShdw blurRad="50800" dist="38100" dir="10800000" algn="r" rotWithShape="0">
                  <a:schemeClr val="accent3">
                    <a:lumMod val="50000"/>
                    <a:alpha val="40000"/>
                  </a:schemeClr>
                </a:outerShdw>
              </a:effectLst>
              <a:scene3d>
                <a:camera prst="orthographicFront"/>
                <a:lightRig rig="soft" dir="t"/>
              </a:scene3d>
              <a:sp3d prstMaterial="softEdge">
                <a:bevelB/>
              </a:sp3d>
            </c:spPr>
          </c:dPt>
          <c:dLbls>
            <c:spPr>
              <a:noFill/>
              <a:ln>
                <a:noFill/>
              </a:ln>
              <a:effectLst/>
            </c:spPr>
            <c:txPr>
              <a:bodyPr rot="0" spcFirstLastPara="0" vertOverflow="ellipsis" vert="horz" wrap="square" lIns="38100" tIns="19050" rIns="38100" bIns="19050" anchor="ctr" anchorCtr="1"/>
              <a:lstStyle/>
              <a:p>
                <a:pPr>
                  <a:defRPr lang="zh-CN" sz="1100" b="0" i="0" u="none" strike="noStrike" kern="1200" baseline="0">
                    <a:solidFill>
                      <a:schemeClr val="tx1"/>
                    </a:solidFill>
                    <a:latin typeface="+mn-ea"/>
                    <a:ea typeface="+mn-ea"/>
                    <a:cs typeface="+mn-ea"/>
                    <a:sym typeface="+mn-ea"/>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'[2018-市公报表格.xlsx]5'!$A$5:$A$18</c:f>
              <c:strCache>
                <c:ptCount val="14"/>
                <c:pt idx="0">
                  <c:v>少林</c:v>
                </c:pt>
                <c:pt idx="1">
                  <c:v>券门</c:v>
                </c:pt>
                <c:pt idx="2">
                  <c:v>纸坊</c:v>
                </c:pt>
                <c:pt idx="3">
                  <c:v>丁店</c:v>
                </c:pt>
                <c:pt idx="4">
                  <c:v>楚楼</c:v>
                </c:pt>
                <c:pt idx="5">
                  <c:v>河王</c:v>
                </c:pt>
                <c:pt idx="6">
                  <c:v>尖岗</c:v>
                </c:pt>
                <c:pt idx="7">
                  <c:v>常庄</c:v>
                </c:pt>
                <c:pt idx="8">
                  <c:v>李湾</c:v>
                </c:pt>
                <c:pt idx="9">
                  <c:v>五星</c:v>
                </c:pt>
                <c:pt idx="10">
                  <c:v>老观寨</c:v>
                </c:pt>
                <c:pt idx="11">
                  <c:v>唐岗</c:v>
                </c:pt>
                <c:pt idx="12">
                  <c:v>后湖</c:v>
                </c:pt>
                <c:pt idx="13">
                  <c:v>坞罗</c:v>
                </c:pt>
              </c:strCache>
            </c:strRef>
          </c:cat>
          <c:val>
            <c:numRef>
              <c:f>'[2018-市公报表格.xlsx]5'!$O$5:$O$18</c:f>
              <c:numCache>
                <c:formatCode>0_ </c:formatCode>
                <c:ptCount val="14"/>
                <c:pt idx="0">
                  <c:v>3</c:v>
                </c:pt>
                <c:pt idx="1" c:formatCode="General">
                  <c:v>47</c:v>
                </c:pt>
                <c:pt idx="2" c:formatCode="General">
                  <c:v>-35</c:v>
                </c:pt>
                <c:pt idx="3" c:formatCode="General">
                  <c:v>-73</c:v>
                </c:pt>
                <c:pt idx="4" c:formatCode="General">
                  <c:v>0</c:v>
                </c:pt>
                <c:pt idx="5" c:formatCode="General">
                  <c:v>-140</c:v>
                </c:pt>
                <c:pt idx="6" c:formatCode="General">
                  <c:v>89</c:v>
                </c:pt>
                <c:pt idx="7" c:formatCode="General">
                  <c:v>53</c:v>
                </c:pt>
                <c:pt idx="8" c:formatCode="General">
                  <c:v>46</c:v>
                </c:pt>
                <c:pt idx="9" c:formatCode="General">
                  <c:v>-46</c:v>
                </c:pt>
                <c:pt idx="10" c:formatCode="General">
                  <c:v>62</c:v>
                </c:pt>
                <c:pt idx="11" c:formatCode="General">
                  <c:v>35</c:v>
                </c:pt>
                <c:pt idx="12" c:formatCode="General">
                  <c:v>12</c:v>
                </c:pt>
                <c:pt idx="13">
                  <c:v>-12</c:v>
                </c:pt>
              </c:numCache>
            </c:numRef>
          </c:val>
        </c:ser>
        <c:dLbls>
          <c:showLegendKey val="0"/>
          <c:showVal val="0"/>
          <c:showCatName val="0"/>
          <c:showSerName val="0"/>
          <c:showPercent val="0"/>
          <c:showBubbleSize val="0"/>
        </c:dLbls>
        <c:gapWidth val="74"/>
        <c:axId val="217565440"/>
        <c:axId val="217579520"/>
      </c:barChart>
      <c:catAx>
        <c:axId val="217565440"/>
        <c:scaling>
          <c:orientation val="minMax"/>
        </c:scaling>
        <c:delete val="0"/>
        <c:axPos val="b"/>
        <c:majorTickMark val="out"/>
        <c:minorTickMark val="none"/>
        <c:tickLblPos val="low"/>
        <c:txPr>
          <a:bodyPr rot="0" spcFirstLastPara="0" vertOverflow="ellipsis" vert="wordArtVertRtl" wrap="square" anchor="ctr" anchorCtr="1"/>
          <a:lstStyle/>
          <a:p>
            <a:pPr>
              <a:defRPr lang="zh-CN" sz="1100" b="0" i="0" u="none" strike="noStrike" kern="1200" baseline="0">
                <a:solidFill>
                  <a:schemeClr val="tx1"/>
                </a:solidFill>
                <a:latin typeface="+mn-ea"/>
                <a:ea typeface="+mn-ea"/>
                <a:cs typeface="+mn-ea"/>
                <a:sym typeface="+mn-ea"/>
              </a:defRPr>
            </a:pPr>
          </a:p>
        </c:txPr>
        <c:crossAx val="217579520"/>
        <c:crosses val="autoZero"/>
        <c:auto val="1"/>
        <c:lblAlgn val="ctr"/>
        <c:lblOffset val="100"/>
        <c:noMultiLvlLbl val="0"/>
      </c:catAx>
      <c:valAx>
        <c:axId val="217579520"/>
        <c:scaling>
          <c:orientation val="minMax"/>
          <c:max val="200"/>
        </c:scaling>
        <c:delete val="0"/>
        <c:axPos val="l"/>
        <c:numFmt formatCode="0_ "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1100" b="0" i="0" u="none" strike="noStrike" kern="1200" baseline="0">
                <a:solidFill>
                  <a:schemeClr val="tx1"/>
                </a:solidFill>
                <a:latin typeface="+mn-ea"/>
                <a:ea typeface="+mn-ea"/>
                <a:cs typeface="+mn-ea"/>
                <a:sym typeface="+mn-ea"/>
              </a:defRPr>
            </a:pPr>
          </a:p>
        </c:txPr>
        <c:crossAx val="217565440"/>
        <c:crosses val="autoZero"/>
        <c:crossBetween val="between"/>
        <c:majorUnit val="100"/>
      </c:valAx>
      <c:spPr>
        <a:noFill/>
        <a:ln>
          <a:solidFill>
            <a:schemeClr val="tx1"/>
          </a:solidFill>
        </a:ln>
      </c:spPr>
    </c:plotArea>
    <c:plotVisOnly val="1"/>
    <c:dispBlanksAs val="gap"/>
    <c:showDLblsOverMax val="0"/>
  </c:chart>
  <c:spPr>
    <a:noFill/>
    <a:ln w="9525" cap="flat" cmpd="sng" algn="ctr">
      <a:noFill/>
      <a:prstDash val="solid"/>
      <a:round/>
    </a:ln>
  </c:spPr>
  <c:txPr>
    <a:bodyPr/>
    <a:lstStyle/>
    <a:p>
      <a:pPr>
        <a:defRPr lang="zh-CN" sz="1100" b="0">
          <a:latin typeface="+mn-ea"/>
          <a:ea typeface="+mn-ea"/>
          <a:cs typeface="+mn-ea"/>
          <a:sym typeface="+mn-ea"/>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332253262107"/>
          <c:y val="0.0954024792091637"/>
          <c:w val="0.913932918819511"/>
          <c:h val="0.806402008473247"/>
        </c:manualLayout>
      </c:layout>
      <c:barChart>
        <c:barDir val="col"/>
        <c:grouping val="stacked"/>
        <c:varyColors val="0"/>
        <c:ser>
          <c:idx val="0"/>
          <c:order val="0"/>
          <c:tx>
            <c:strRef>
              <c:f>'[2018-市公报表格（计算加入巩义市）.xlsx]12'!$B$22</c:f>
              <c:strCache>
                <c:ptCount val="1"/>
                <c:pt idx="0">
                  <c:v>当地地表水源</c:v>
                </c:pt>
              </c:strCache>
            </c:strRef>
          </c:tx>
          <c:spPr>
            <a:effectLst>
              <a:innerShdw blurRad="63500" dist="50800" dir="13500000">
                <a:prstClr val="black">
                  <a:alpha val="50000"/>
                </a:prstClr>
              </a:innerShdw>
            </a:effectLst>
          </c:spPr>
          <c:invertIfNegative val="0"/>
          <c:dLbls>
            <c:delete val="1"/>
          </c:dLbls>
          <c:cat>
            <c:strRef>
              <c:f>'[2018-市公报表格（计算加入巩义市）.xlsx]12'!$G$23:$G$30</c:f>
              <c:strCache>
                <c:ptCount val="8"/>
                <c:pt idx="0">
                  <c:v>新密市</c:v>
                </c:pt>
                <c:pt idx="1">
                  <c:v>新郑市</c:v>
                </c:pt>
                <c:pt idx="2">
                  <c:v>荥阳市</c:v>
                </c:pt>
                <c:pt idx="3">
                  <c:v>登封市</c:v>
                </c:pt>
                <c:pt idx="4">
                  <c:v>中牟县</c:v>
                </c:pt>
                <c:pt idx="5">
                  <c:v>郑州市区</c:v>
                </c:pt>
                <c:pt idx="6">
                  <c:v>航空港区</c:v>
                </c:pt>
                <c:pt idx="7">
                  <c:v>上街区</c:v>
                </c:pt>
              </c:strCache>
            </c:strRef>
          </c:cat>
          <c:val>
            <c:numRef>
              <c:f>'[2018-市公报表格（计算加入巩义市）.xlsx]12'!$B$23:$B$30</c:f>
              <c:numCache>
                <c:formatCode>0.0000_ </c:formatCode>
                <c:ptCount val="8"/>
                <c:pt idx="0">
                  <c:v>0.3439</c:v>
                </c:pt>
                <c:pt idx="1">
                  <c:v>0.0946</c:v>
                </c:pt>
                <c:pt idx="2">
                  <c:v>0.2239</c:v>
                </c:pt>
                <c:pt idx="3">
                  <c:v>0.4744</c:v>
                </c:pt>
                <c:pt idx="4">
                  <c:v>0</c:v>
                </c:pt>
                <c:pt idx="5">
                  <c:v>0.566999999999999</c:v>
                </c:pt>
                <c:pt idx="6">
                  <c:v>0</c:v>
                </c:pt>
                <c:pt idx="7">
                  <c:v>0.1604</c:v>
                </c:pt>
              </c:numCache>
            </c:numRef>
          </c:val>
        </c:ser>
        <c:ser>
          <c:idx val="1"/>
          <c:order val="1"/>
          <c:tx>
            <c:strRef>
              <c:f>'[2018-市公报表格（计算加入巩义市）.xlsx]12'!$C$22</c:f>
              <c:strCache>
                <c:ptCount val="1"/>
                <c:pt idx="0">
                  <c:v>引黄水</c:v>
                </c:pt>
              </c:strCache>
            </c:strRef>
          </c:tx>
          <c:spPr>
            <a:effectLst>
              <a:innerShdw blurRad="63500" dist="50800" dir="13500000">
                <a:prstClr val="black">
                  <a:alpha val="50000"/>
                </a:prstClr>
              </a:innerShdw>
            </a:effectLst>
          </c:spPr>
          <c:invertIfNegative val="0"/>
          <c:dLbls>
            <c:delete val="1"/>
          </c:dLbls>
          <c:cat>
            <c:strRef>
              <c:f>'[2018-市公报表格（计算加入巩义市）.xlsx]12'!$G$23:$G$30</c:f>
              <c:strCache>
                <c:ptCount val="8"/>
                <c:pt idx="0">
                  <c:v>新密市</c:v>
                </c:pt>
                <c:pt idx="1">
                  <c:v>新郑市</c:v>
                </c:pt>
                <c:pt idx="2">
                  <c:v>荥阳市</c:v>
                </c:pt>
                <c:pt idx="3">
                  <c:v>登封市</c:v>
                </c:pt>
                <c:pt idx="4">
                  <c:v>中牟县</c:v>
                </c:pt>
                <c:pt idx="5">
                  <c:v>郑州市区</c:v>
                </c:pt>
                <c:pt idx="6">
                  <c:v>航空港区</c:v>
                </c:pt>
                <c:pt idx="7">
                  <c:v>上街区</c:v>
                </c:pt>
              </c:strCache>
            </c:strRef>
          </c:cat>
          <c:val>
            <c:numRef>
              <c:f>'[2018-市公报表格（计算加入巩义市）.xlsx]12'!$C$23:$C$30</c:f>
              <c:numCache>
                <c:formatCode>0.0000_ </c:formatCode>
                <c:ptCount val="8"/>
                <c:pt idx="0">
                  <c:v>0</c:v>
                </c:pt>
                <c:pt idx="1">
                  <c:v>0</c:v>
                </c:pt>
                <c:pt idx="2">
                  <c:v>0</c:v>
                </c:pt>
                <c:pt idx="3">
                  <c:v>0</c:v>
                </c:pt>
                <c:pt idx="4">
                  <c:v>0.763742</c:v>
                </c:pt>
                <c:pt idx="5">
                  <c:v>2.476651</c:v>
                </c:pt>
                <c:pt idx="6">
                  <c:v>0</c:v>
                </c:pt>
                <c:pt idx="7">
                  <c:v>0</c:v>
                </c:pt>
              </c:numCache>
            </c:numRef>
          </c:val>
        </c:ser>
        <c:ser>
          <c:idx val="2"/>
          <c:order val="2"/>
          <c:tx>
            <c:strRef>
              <c:f>'[2018-市公报表格（计算加入巩义市）.xlsx]12'!$D$22</c:f>
              <c:strCache>
                <c:ptCount val="1"/>
                <c:pt idx="0">
                  <c:v>南水北调</c:v>
                </c:pt>
              </c:strCache>
            </c:strRef>
          </c:tx>
          <c:spPr>
            <a:effectLst>
              <a:innerShdw blurRad="63500" dist="50800" dir="13500000">
                <a:prstClr val="black">
                  <a:alpha val="50000"/>
                </a:prstClr>
              </a:innerShdw>
            </a:effectLst>
          </c:spPr>
          <c:invertIfNegative val="0"/>
          <c:dLbls>
            <c:delete val="1"/>
          </c:dLbls>
          <c:cat>
            <c:strRef>
              <c:f>'[2018-市公报表格（计算加入巩义市）.xlsx]12'!$G$23:$G$30</c:f>
              <c:strCache>
                <c:ptCount val="8"/>
                <c:pt idx="0">
                  <c:v>新密市</c:v>
                </c:pt>
                <c:pt idx="1">
                  <c:v>新郑市</c:v>
                </c:pt>
                <c:pt idx="2">
                  <c:v>荥阳市</c:v>
                </c:pt>
                <c:pt idx="3">
                  <c:v>登封市</c:v>
                </c:pt>
                <c:pt idx="4">
                  <c:v>中牟县</c:v>
                </c:pt>
                <c:pt idx="5">
                  <c:v>郑州市区</c:v>
                </c:pt>
                <c:pt idx="6">
                  <c:v>航空港区</c:v>
                </c:pt>
                <c:pt idx="7">
                  <c:v>上街区</c:v>
                </c:pt>
              </c:strCache>
            </c:strRef>
          </c:cat>
          <c:val>
            <c:numRef>
              <c:f>'[2018-市公报表格（计算加入巩义市）.xlsx]12'!$D$23:$D$30</c:f>
              <c:numCache>
                <c:formatCode>0.0000_ </c:formatCode>
                <c:ptCount val="8"/>
                <c:pt idx="0">
                  <c:v>0.01379776</c:v>
                </c:pt>
                <c:pt idx="1">
                  <c:v>0.8482344</c:v>
                </c:pt>
                <c:pt idx="2">
                  <c:v>0.52585665</c:v>
                </c:pt>
                <c:pt idx="3">
                  <c:v>0</c:v>
                </c:pt>
                <c:pt idx="4">
                  <c:v>0.15456892</c:v>
                </c:pt>
                <c:pt idx="5">
                  <c:v>3.46500576</c:v>
                </c:pt>
                <c:pt idx="6">
                  <c:v>0.4674</c:v>
                </c:pt>
                <c:pt idx="7">
                  <c:v>0.0896</c:v>
                </c:pt>
              </c:numCache>
            </c:numRef>
          </c:val>
        </c:ser>
        <c:ser>
          <c:idx val="3"/>
          <c:order val="3"/>
          <c:tx>
            <c:strRef>
              <c:f>'[2018-市公报表格（计算加入巩义市）.xlsx]12'!$E$22</c:f>
              <c:strCache>
                <c:ptCount val="1"/>
                <c:pt idx="0">
                  <c:v>地下水源</c:v>
                </c:pt>
              </c:strCache>
            </c:strRef>
          </c:tx>
          <c:spPr>
            <a:effectLst>
              <a:innerShdw blurRad="63500" dist="50800" dir="13500000">
                <a:prstClr val="black">
                  <a:alpha val="50000"/>
                </a:prstClr>
              </a:innerShdw>
            </a:effectLst>
          </c:spPr>
          <c:invertIfNegative val="0"/>
          <c:dLbls>
            <c:delete val="1"/>
          </c:dLbls>
          <c:cat>
            <c:strRef>
              <c:f>'[2018-市公报表格（计算加入巩义市）.xlsx]12'!$G$23:$G$30</c:f>
              <c:strCache>
                <c:ptCount val="8"/>
                <c:pt idx="0">
                  <c:v>新密市</c:v>
                </c:pt>
                <c:pt idx="1">
                  <c:v>新郑市</c:v>
                </c:pt>
                <c:pt idx="2">
                  <c:v>荥阳市</c:v>
                </c:pt>
                <c:pt idx="3">
                  <c:v>登封市</c:v>
                </c:pt>
                <c:pt idx="4">
                  <c:v>中牟县</c:v>
                </c:pt>
                <c:pt idx="5">
                  <c:v>郑州市区</c:v>
                </c:pt>
                <c:pt idx="6">
                  <c:v>航空港区</c:v>
                </c:pt>
                <c:pt idx="7">
                  <c:v>上街区</c:v>
                </c:pt>
              </c:strCache>
            </c:strRef>
          </c:cat>
          <c:val>
            <c:numRef>
              <c:f>'[2018-市公报表格（计算加入巩义市）.xlsx]12'!$E$23:$E$30</c:f>
              <c:numCache>
                <c:formatCode>0.0000_ </c:formatCode>
                <c:ptCount val="8"/>
                <c:pt idx="0">
                  <c:v>0.80650224</c:v>
                </c:pt>
                <c:pt idx="1">
                  <c:v>0.824</c:v>
                </c:pt>
                <c:pt idx="2">
                  <c:v>0.87424335</c:v>
                </c:pt>
                <c:pt idx="3">
                  <c:v>0.6673</c:v>
                </c:pt>
                <c:pt idx="4">
                  <c:v>1.34638908</c:v>
                </c:pt>
                <c:pt idx="5">
                  <c:v>0.62214324</c:v>
                </c:pt>
                <c:pt idx="6">
                  <c:v>0.8797</c:v>
                </c:pt>
                <c:pt idx="7">
                  <c:v>0.018</c:v>
                </c:pt>
              </c:numCache>
            </c:numRef>
          </c:val>
        </c:ser>
        <c:ser>
          <c:idx val="4"/>
          <c:order val="4"/>
          <c:tx>
            <c:strRef>
              <c:f>'[2018-市公报表格（计算加入巩义市）.xlsx]12'!$F$22</c:f>
              <c:strCache>
                <c:ptCount val="1"/>
                <c:pt idx="0">
                  <c:v>其它水源</c:v>
                </c:pt>
              </c:strCache>
            </c:strRef>
          </c:tx>
          <c:spPr>
            <a:effectLst>
              <a:innerShdw blurRad="63500" dist="50800" dir="13500000">
                <a:prstClr val="black">
                  <a:alpha val="50000"/>
                </a:prstClr>
              </a:innerShdw>
            </a:effectLst>
          </c:spPr>
          <c:invertIfNegative val="0"/>
          <c:dPt>
            <c:idx val="5"/>
            <c:invertIfNegative val="0"/>
            <c:bubble3D val="0"/>
          </c:dPt>
          <c:dLbls>
            <c:delete val="1"/>
          </c:dLbls>
          <c:cat>
            <c:strRef>
              <c:f>'[2018-市公报表格（计算加入巩义市）.xlsx]12'!$G$23:$G$30</c:f>
              <c:strCache>
                <c:ptCount val="8"/>
                <c:pt idx="0">
                  <c:v>新密市</c:v>
                </c:pt>
                <c:pt idx="1">
                  <c:v>新郑市</c:v>
                </c:pt>
                <c:pt idx="2">
                  <c:v>荥阳市</c:v>
                </c:pt>
                <c:pt idx="3">
                  <c:v>登封市</c:v>
                </c:pt>
                <c:pt idx="4">
                  <c:v>中牟县</c:v>
                </c:pt>
                <c:pt idx="5">
                  <c:v>郑州市区</c:v>
                </c:pt>
                <c:pt idx="6">
                  <c:v>航空港区</c:v>
                </c:pt>
                <c:pt idx="7">
                  <c:v>上街区</c:v>
                </c:pt>
              </c:strCache>
            </c:strRef>
          </c:cat>
          <c:val>
            <c:numRef>
              <c:f>'[2018-市公报表格（计算加入巩义市）.xlsx]12'!$F$23:$F$30</c:f>
              <c:numCache>
                <c:formatCode>0.0000_ </c:formatCode>
                <c:ptCount val="8"/>
                <c:pt idx="0">
                  <c:v>0.2133</c:v>
                </c:pt>
                <c:pt idx="1">
                  <c:v>0.1515</c:v>
                </c:pt>
                <c:pt idx="2">
                  <c:v>0.046</c:v>
                </c:pt>
                <c:pt idx="3">
                  <c:v>0.279</c:v>
                </c:pt>
                <c:pt idx="4">
                  <c:v>0</c:v>
                </c:pt>
                <c:pt idx="5">
                  <c:v>1.3299</c:v>
                </c:pt>
                <c:pt idx="6">
                  <c:v>0.3329</c:v>
                </c:pt>
                <c:pt idx="7">
                  <c:v>0.1</c:v>
                </c:pt>
              </c:numCache>
            </c:numRef>
          </c:val>
        </c:ser>
        <c:dLbls>
          <c:showLegendKey val="0"/>
          <c:showVal val="0"/>
          <c:showCatName val="0"/>
          <c:showSerName val="0"/>
          <c:showPercent val="0"/>
          <c:showBubbleSize val="0"/>
        </c:dLbls>
        <c:gapWidth val="96"/>
        <c:overlap val="100"/>
        <c:axId val="226606464"/>
        <c:axId val="226616448"/>
      </c:barChart>
      <c:catAx>
        <c:axId val="226606464"/>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226616448"/>
        <c:crosses val="autoZero"/>
        <c:auto val="1"/>
        <c:lblAlgn val="ctr"/>
        <c:lblOffset val="100"/>
        <c:noMultiLvlLbl val="0"/>
      </c:catAx>
      <c:valAx>
        <c:axId val="226616448"/>
        <c:scaling>
          <c:orientation val="minMax"/>
        </c:scaling>
        <c:delete val="0"/>
        <c:axPos val="l"/>
        <c:majorGridlines>
          <c:spPr>
            <a:ln w="3175" cap="flat" cmpd="sng" algn="ctr">
              <a:solidFill>
                <a:schemeClr val="tx1">
                  <a:lumMod val="75000"/>
                  <a:lumOff val="25000"/>
                </a:schemeClr>
              </a:solidFill>
              <a:prstDash val="sysDot"/>
              <a:round/>
            </a:ln>
          </c:spPr>
        </c:majorGridlines>
        <c:title>
          <c:tx>
            <c:rich>
              <a:bodyPr rot="-54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r>
                  <a:rPr lang="zh-CN" sz="1000">
                    <a:latin typeface="宋体" panose="02010600030101010101" charset="-122"/>
                    <a:ea typeface="宋体" panose="02010600030101010101" charset="-122"/>
                    <a:cs typeface="宋体" panose="02010600030101010101" charset="-122"/>
                    <a:sym typeface="宋体" panose="02010600030101010101" charset="-122"/>
                  </a:rPr>
                  <a:t>供水量（</a:t>
                </a:r>
                <a:r>
                  <a:rPr lang="zh-CN" altLang="en-US" sz="1000">
                    <a:latin typeface="宋体" panose="02010600030101010101" charset="-122"/>
                    <a:ea typeface="宋体" panose="02010600030101010101" charset="-122"/>
                    <a:cs typeface="宋体" panose="02010600030101010101" charset="-122"/>
                    <a:sym typeface="宋体" panose="02010600030101010101" charset="-122"/>
                  </a:rPr>
                  <a:t>亿</a:t>
                </a:r>
                <a:r>
                  <a:rPr lang="en-US" altLang="zh-CN" sz="1000">
                    <a:latin typeface="宋体" panose="02010600030101010101" charset="-122"/>
                    <a:ea typeface="宋体" panose="02010600030101010101" charset="-122"/>
                    <a:cs typeface="宋体" panose="02010600030101010101" charset="-122"/>
                    <a:sym typeface="宋体" panose="02010600030101010101" charset="-122"/>
                  </a:rPr>
                  <a:t>m</a:t>
                </a:r>
                <a:r>
                  <a:rPr lang="en-US" altLang="zh-CN" sz="1000" baseline="30000">
                    <a:latin typeface="宋体" panose="02010600030101010101" charset="-122"/>
                    <a:ea typeface="宋体" panose="02010600030101010101" charset="-122"/>
                    <a:cs typeface="宋体" panose="02010600030101010101" charset="-122"/>
                    <a:sym typeface="宋体" panose="02010600030101010101" charset="-122"/>
                  </a:rPr>
                  <a:t>3</a:t>
                </a:r>
                <a:r>
                  <a:rPr lang="zh-CN" sz="1000">
                    <a:latin typeface="宋体" panose="02010600030101010101" charset="-122"/>
                    <a:ea typeface="宋体" panose="02010600030101010101" charset="-122"/>
                    <a:cs typeface="宋体" panose="02010600030101010101" charset="-122"/>
                    <a:sym typeface="宋体" panose="02010600030101010101" charset="-122"/>
                  </a:rPr>
                  <a:t>）</a:t>
                </a:r>
                <a:endParaRPr lang="zh-CN" sz="1000">
                  <a:latin typeface="宋体" panose="02010600030101010101" charset="-122"/>
                  <a:ea typeface="宋体" panose="02010600030101010101" charset="-122"/>
                  <a:cs typeface="宋体" panose="02010600030101010101" charset="-122"/>
                  <a:sym typeface="宋体" panose="02010600030101010101" charset="-122"/>
                </a:endParaRPr>
              </a:p>
            </c:rich>
          </c:tx>
          <c:layout>
            <c:manualLayout>
              <c:xMode val="edge"/>
              <c:yMode val="edge"/>
              <c:x val="0.013147242995062"/>
              <c:y val="0.249425310224572"/>
            </c:manualLayout>
          </c:layout>
          <c:overlay val="0"/>
          <c:spPr>
            <a:noFill/>
            <a:ln w="25400">
              <a:noFill/>
            </a:ln>
          </c:spPr>
        </c:title>
        <c:numFmt formatCode="General" sourceLinked="0"/>
        <c:majorTickMark val="in"/>
        <c:minorTickMark val="none"/>
        <c:tickLblPos val="nextTo"/>
        <c:spPr>
          <a:ln w="3175" cap="flat" cmpd="sng" algn="ctr">
            <a:solidFill>
              <a:schemeClr val="tx1">
                <a:lumMod val="65000"/>
                <a:lumOff val="35000"/>
              </a:schemeClr>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226606464"/>
        <c:crosses val="autoZero"/>
        <c:crossBetween val="between"/>
      </c:valAx>
      <c:spPr>
        <a:noFill/>
        <a:ln w="3175">
          <a:solidFill>
            <a:srgbClr val="000000"/>
          </a:solidFill>
          <a:prstDash val="solid"/>
        </a:ln>
      </c:spPr>
    </c:plotArea>
    <c:legend>
      <c:legendPos val="t"/>
      <c:legendEntry>
        <c:idx val="0"/>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2"/>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3"/>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4"/>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ayout>
        <c:manualLayout>
          <c:xMode val="edge"/>
          <c:yMode val="edge"/>
          <c:x val="0.210920395831509"/>
          <c:y val="0.00470735917150479"/>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sym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9340925218224"/>
          <c:y val="0.151618057088658"/>
          <c:w val="0.836826284336608"/>
          <c:h val="0.686849984873391"/>
        </c:manualLayout>
      </c:layout>
      <c:pieChart>
        <c:varyColors val="1"/>
        <c:ser>
          <c:idx val="0"/>
          <c:order val="0"/>
          <c:spPr>
            <a:solidFill>
              <a:srgbClr val="9999FF"/>
            </a:solidFill>
            <a:ln w="25400">
              <a:noFill/>
            </a:ln>
            <a:effectLst>
              <a:innerShdw blurRad="63500" dist="50800" dir="10800000">
                <a:prstClr val="black">
                  <a:alpha val="50000"/>
                </a:prstClr>
              </a:innerShdw>
            </a:effectLst>
            <a:scene3d>
              <a:camera prst="orthographicFront"/>
              <a:lightRig rig="threePt" dir="t"/>
            </a:scene3d>
            <a:sp3d>
              <a:bevelT/>
            </a:sp3d>
          </c:spPr>
          <c:explosion val="5"/>
          <c:dPt>
            <c:idx val="0"/>
            <c:bubble3D val="0"/>
            <c:spPr>
              <a:gradFill flip="none" rotWithShape="1">
                <a:gsLst>
                  <a:gs pos="0">
                    <a:schemeClr val="tx2">
                      <a:lumMod val="75000"/>
                    </a:schemeClr>
                  </a:gs>
                  <a:gs pos="50000">
                    <a:srgbClr val="9999FF">
                      <a:gamma/>
                      <a:tint val="60000"/>
                      <a:invGamma/>
                    </a:srgbClr>
                  </a:gs>
                  <a:gs pos="100000">
                    <a:srgbClr val="9999FF"/>
                  </a:gs>
                </a:gsLst>
                <a:lin ang="54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1"/>
            <c:bubble3D val="0"/>
            <c:spPr>
              <a:gradFill flip="none" rotWithShape="1">
                <a:gsLst>
                  <a:gs pos="0">
                    <a:schemeClr val="accent2">
                      <a:lumMod val="75000"/>
                    </a:schemeClr>
                  </a:gs>
                  <a:gs pos="50000">
                    <a:srgbClr val="993366">
                      <a:gamma/>
                      <a:tint val="60000"/>
                      <a:invGamma/>
                    </a:srgbClr>
                  </a:gs>
                  <a:gs pos="100000">
                    <a:srgbClr val="993366"/>
                  </a:gs>
                </a:gsLst>
                <a:lin ang="162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2"/>
            <c:bubble3D val="0"/>
            <c:spPr>
              <a:gradFill flip="none" rotWithShape="1">
                <a:gsLst>
                  <a:gs pos="0">
                    <a:schemeClr val="accent6">
                      <a:lumMod val="75000"/>
                    </a:schemeClr>
                  </a:gs>
                  <a:gs pos="50000">
                    <a:srgbClr val="FFCC00">
                      <a:gamma/>
                      <a:tint val="60000"/>
                      <a:invGamma/>
                    </a:srgbClr>
                  </a:gs>
                  <a:gs pos="100000">
                    <a:srgbClr val="FFCC00"/>
                  </a:gs>
                </a:gsLst>
                <a:lin ang="162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3"/>
            <c:bubble3D val="0"/>
            <c:spPr>
              <a:gradFill flip="none" rotWithShape="1">
                <a:gsLst>
                  <a:gs pos="0">
                    <a:schemeClr val="accent3">
                      <a:lumMod val="50000"/>
                    </a:schemeClr>
                  </a:gs>
                  <a:gs pos="50000">
                    <a:srgbClr val="CCFFFF">
                      <a:gamma/>
                      <a:tint val="60000"/>
                      <a:invGamma/>
                    </a:srgbClr>
                  </a:gs>
                  <a:gs pos="100000">
                    <a:srgbClr val="CCFFFF"/>
                  </a:gs>
                </a:gsLst>
                <a:lin ang="162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4"/>
            <c:bubble3D val="0"/>
            <c:spPr>
              <a:gradFill flip="none" rotWithShape="1">
                <a:gsLst>
                  <a:gs pos="0">
                    <a:schemeClr val="accent4"/>
                  </a:gs>
                  <a:gs pos="50000">
                    <a:srgbClr val="660066">
                      <a:gamma/>
                      <a:tint val="60000"/>
                      <a:invGamma/>
                    </a:srgbClr>
                  </a:gs>
                  <a:gs pos="100000">
                    <a:srgbClr val="660066"/>
                  </a:gs>
                </a:gsLst>
                <a:lin ang="54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5"/>
            <c:bubble3D val="0"/>
            <c:spPr>
              <a:gradFill flip="none" rotWithShape="1">
                <a:gsLst>
                  <a:gs pos="0">
                    <a:schemeClr val="bg2">
                      <a:lumMod val="50000"/>
                    </a:schemeClr>
                  </a:gs>
                  <a:gs pos="64999">
                    <a:srgbClr val="F0EBD5"/>
                  </a:gs>
                  <a:gs pos="100000">
                    <a:srgbClr val="D1C39F"/>
                  </a:gs>
                </a:gsLst>
                <a:lin ang="162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6"/>
            <c:bubble3D val="0"/>
            <c:spPr>
              <a:gradFill flip="none" rotWithShape="1">
                <a:gsLst>
                  <a:gs pos="0">
                    <a:srgbClr val="0066CC"/>
                  </a:gs>
                  <a:gs pos="50000">
                    <a:srgbClr val="0066CC">
                      <a:gamma/>
                      <a:tint val="60000"/>
                      <a:invGamma/>
                    </a:srgbClr>
                  </a:gs>
                  <a:gs pos="100000">
                    <a:srgbClr val="0066CC"/>
                  </a:gs>
                </a:gsLst>
                <a:lin ang="162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7"/>
            <c:bubble3D val="0"/>
            <c:spPr>
              <a:gradFill flip="none" rotWithShape="1">
                <a:gsLst>
                  <a:gs pos="0">
                    <a:schemeClr val="accent3"/>
                  </a:gs>
                  <a:gs pos="50000">
                    <a:srgbClr val="9CB86E"/>
                  </a:gs>
                  <a:gs pos="100000">
                    <a:srgbClr val="156B13"/>
                  </a:gs>
                </a:gsLst>
                <a:lin ang="16200000" scaled="1"/>
                <a:tileRect/>
              </a:gradFill>
              <a:ln w="25400">
                <a:noFill/>
              </a:ln>
              <a:effectLst>
                <a:innerShdw blurRad="63500" dist="50800" dir="10800000">
                  <a:prstClr val="black">
                    <a:alpha val="50000"/>
                  </a:prstClr>
                </a:innerShdw>
              </a:effectLst>
              <a:scene3d>
                <a:camera prst="orthographicFront"/>
                <a:lightRig rig="threePt" dir="t"/>
              </a:scene3d>
              <a:sp3d>
                <a:bevelT/>
              </a:sp3d>
            </c:spPr>
          </c:dPt>
          <c:dPt>
            <c:idx val="8"/>
            <c:bubble3D val="0"/>
            <c:spPr>
              <a:solidFill>
                <a:srgbClr val="9999FF"/>
              </a:solidFill>
              <a:ln w="25400">
                <a:noFill/>
              </a:ln>
              <a:effectLst>
                <a:innerShdw blurRad="63500" dist="50800" dir="10800000">
                  <a:prstClr val="black">
                    <a:alpha val="50000"/>
                  </a:prstClr>
                </a:innerShdw>
              </a:effectLst>
              <a:scene3d>
                <a:camera prst="orthographicFront"/>
                <a:lightRig rig="threePt" dir="t"/>
              </a:scene3d>
              <a:sp3d>
                <a:bevelT/>
              </a:sp3d>
            </c:spPr>
          </c:dPt>
          <c:dLbls>
            <c:dLbl>
              <c:idx val="0"/>
              <c:layout>
                <c:manualLayout>
                  <c:x val="0.0153019609203189"/>
                  <c:y val="0.0065827390255921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0656623131087023"/>
                  <c:y val="0.0039287251713594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22016241007542"/>
                  <c:y val="0.04000584219763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215704062090515"/>
                  <c:y val="-0.016462801596798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0855206327543893"/>
                  <c:y val="-0.11746640801063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91906798865353"/>
                  <c:y val="0.051547454322457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95479877738077"/>
                  <c:y val="-0.071909205091759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122810266249955"/>
                  <c:y val="0.027605285875314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'[2018-市公报表格（计算加入巩义市）.xlsx]12'!$A$6:$A$14</c:f>
              <c:strCache>
                <c:ptCount val="9"/>
                <c:pt idx="0">
                  <c:v>新密市</c:v>
                </c:pt>
                <c:pt idx="1">
                  <c:v>新郑市</c:v>
                </c:pt>
                <c:pt idx="2">
                  <c:v>荥阳市</c:v>
                </c:pt>
                <c:pt idx="3">
                  <c:v>登封市</c:v>
                </c:pt>
                <c:pt idx="4">
                  <c:v>中牟县</c:v>
                </c:pt>
                <c:pt idx="5">
                  <c:v>郑州市区</c:v>
                </c:pt>
                <c:pt idx="6">
                  <c:v>航空港区</c:v>
                </c:pt>
                <c:pt idx="7">
                  <c:v>上街区</c:v>
                </c:pt>
                <c:pt idx="8">
                  <c:v>巩义市</c:v>
                </c:pt>
              </c:strCache>
            </c:strRef>
          </c:cat>
          <c:val>
            <c:numRef>
              <c:f>'[2018-市公报表格（计算加入巩义市）.xlsx]12'!$N$6:$N$14</c:f>
              <c:numCache>
                <c:formatCode>0.0000_ </c:formatCode>
                <c:ptCount val="9"/>
                <c:pt idx="0">
                  <c:v>1.3775</c:v>
                </c:pt>
                <c:pt idx="1">
                  <c:v>1.9183344</c:v>
                </c:pt>
                <c:pt idx="2">
                  <c:v>1.67</c:v>
                </c:pt>
                <c:pt idx="3">
                  <c:v>1.4207</c:v>
                </c:pt>
                <c:pt idx="4">
                  <c:v>2.2647</c:v>
                </c:pt>
                <c:pt idx="5">
                  <c:v>8.4607</c:v>
                </c:pt>
                <c:pt idx="6">
                  <c:v>1.68</c:v>
                </c:pt>
                <c:pt idx="7">
                  <c:v>0.368</c:v>
                </c:pt>
                <c:pt idx="8">
                  <c:v>1.5465</c:v>
                </c:pt>
              </c:numCache>
            </c:numRef>
          </c:val>
        </c:ser>
        <c:dLbls>
          <c:showLegendKey val="0"/>
          <c:showVal val="0"/>
          <c:showCatName val="0"/>
          <c:showSerName val="0"/>
          <c:showPercent val="0"/>
          <c:showBubbleSize val="0"/>
          <c:showLeaderLines val="1"/>
        </c:dLbls>
        <c:firstSliceAng val="154"/>
      </c:pieChart>
      <c:spPr>
        <a:noFill/>
        <a:ln>
          <a:noFill/>
        </a:ln>
        <a:effectLst/>
      </c:spPr>
    </c:plotArea>
    <c:plotVisOnly val="1"/>
    <c:dispBlanksAs val="zero"/>
    <c:showDLblsOverMax val="0"/>
  </c:chart>
  <c:spPr>
    <a:noFill/>
    <a:ln w="9525" cap="flat" cmpd="sng" algn="ctr">
      <a:no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94384173580089"/>
          <c:y val="0.105146178833989"/>
          <c:w val="0.957370772176133"/>
          <c:h val="0.802735510343648"/>
        </c:manualLayout>
      </c:layout>
      <c:barChart>
        <c:barDir val="col"/>
        <c:grouping val="stacked"/>
        <c:varyColors val="0"/>
        <c:ser>
          <c:idx val="3"/>
          <c:order val="0"/>
          <c:tx>
            <c:strRef>
              <c:f>'[2018-市公报表格（计算加入巩义市）.xlsx]13'!$P$4</c:f>
              <c:strCache>
                <c:ptCount val="1"/>
                <c:pt idx="0">
                  <c:v>生态环境</c:v>
                </c:pt>
              </c:strCache>
            </c:strRef>
          </c:tx>
          <c:spPr>
            <a:effectLst>
              <a:innerShdw blurRad="63500" dist="50800" dir="16200000">
                <a:prstClr val="black">
                  <a:alpha val="50000"/>
                </a:prstClr>
              </a:innerShdw>
            </a:effectLst>
            <a:scene3d>
              <a:camera prst="orthographicFront"/>
              <a:lightRig rig="threePt" dir="t"/>
            </a:scene3d>
            <a:sp3d/>
          </c:spPr>
          <c:invertIfNegative val="0"/>
          <c:dPt>
            <c:idx val="1"/>
            <c:invertIfNegative val="0"/>
            <c:bubble3D val="0"/>
          </c:dPt>
          <c:dLbls>
            <c:delete val="1"/>
          </c:dLbls>
          <c:cat>
            <c:strRef>
              <c:f>'[2018-市公报表格（计算加入巩义市）.xlsx]13'!$A$20:$A$28</c:f>
              <c:strCache>
                <c:ptCount val="9"/>
                <c:pt idx="0">
                  <c:v>新密市</c:v>
                </c:pt>
                <c:pt idx="1">
                  <c:v>新郑市</c:v>
                </c:pt>
                <c:pt idx="2">
                  <c:v>荥阳市</c:v>
                </c:pt>
                <c:pt idx="3">
                  <c:v>登封市</c:v>
                </c:pt>
                <c:pt idx="4">
                  <c:v>中牟县</c:v>
                </c:pt>
                <c:pt idx="5">
                  <c:v>郑州市区</c:v>
                </c:pt>
                <c:pt idx="6">
                  <c:v>航空港区</c:v>
                </c:pt>
                <c:pt idx="7">
                  <c:v>上街区</c:v>
                </c:pt>
                <c:pt idx="8">
                  <c:v>巩义市</c:v>
                </c:pt>
              </c:strCache>
            </c:strRef>
          </c:cat>
          <c:val>
            <c:numRef>
              <c:f>'[2018-市公报表格（计算加入巩义市）.xlsx]13'!$S$20:$S$28</c:f>
              <c:numCache>
                <c:formatCode>0.0000_ </c:formatCode>
                <c:ptCount val="9"/>
                <c:pt idx="0">
                  <c:v>0.103</c:v>
                </c:pt>
                <c:pt idx="1">
                  <c:v>0.5566344</c:v>
                </c:pt>
                <c:pt idx="2">
                  <c:v>0.062</c:v>
                </c:pt>
                <c:pt idx="3">
                  <c:v>0.12</c:v>
                </c:pt>
                <c:pt idx="4">
                  <c:v>0.2401</c:v>
                </c:pt>
                <c:pt idx="5">
                  <c:v>2.8163656</c:v>
                </c:pt>
                <c:pt idx="6">
                  <c:v>0.45</c:v>
                </c:pt>
                <c:pt idx="7">
                  <c:v>0.0923</c:v>
                </c:pt>
                <c:pt idx="8">
                  <c:v>0.1677</c:v>
                </c:pt>
              </c:numCache>
            </c:numRef>
          </c:val>
        </c:ser>
        <c:ser>
          <c:idx val="2"/>
          <c:order val="1"/>
          <c:tx>
            <c:strRef>
              <c:f>'[2018-市公报表格（计算加入巩义市）.xlsx]13'!$O$4</c:f>
              <c:strCache>
                <c:ptCount val="1"/>
                <c:pt idx="0">
                  <c:v>生活</c:v>
                </c:pt>
              </c:strCache>
            </c:strRef>
          </c:tx>
          <c:spPr>
            <a:ln>
              <a:noFill/>
            </a:ln>
            <a:effectLst>
              <a:innerShdw blurRad="63500" dist="50800" dir="16200000">
                <a:prstClr val="black">
                  <a:alpha val="50000"/>
                </a:prstClr>
              </a:innerShdw>
            </a:effectLst>
            <a:scene3d>
              <a:camera prst="orthographicFront"/>
              <a:lightRig rig="soft" dir="t"/>
            </a:scene3d>
            <a:sp3d prstMaterial="plastic"/>
          </c:spPr>
          <c:invertIfNegative val="0"/>
          <c:dLbls>
            <c:delete val="1"/>
          </c:dLbls>
          <c:cat>
            <c:strRef>
              <c:f>'[2018-市公报表格（计算加入巩义市）.xlsx]13'!$A$20:$A$28</c:f>
              <c:strCache>
                <c:ptCount val="9"/>
                <c:pt idx="0">
                  <c:v>新密市</c:v>
                </c:pt>
                <c:pt idx="1">
                  <c:v>新郑市</c:v>
                </c:pt>
                <c:pt idx="2">
                  <c:v>荥阳市</c:v>
                </c:pt>
                <c:pt idx="3">
                  <c:v>登封市</c:v>
                </c:pt>
                <c:pt idx="4">
                  <c:v>中牟县</c:v>
                </c:pt>
                <c:pt idx="5">
                  <c:v>郑州市区</c:v>
                </c:pt>
                <c:pt idx="6">
                  <c:v>航空港区</c:v>
                </c:pt>
                <c:pt idx="7">
                  <c:v>上街区</c:v>
                </c:pt>
                <c:pt idx="8">
                  <c:v>巩义市</c:v>
                </c:pt>
              </c:strCache>
            </c:strRef>
          </c:cat>
          <c:val>
            <c:numRef>
              <c:f>'[2018-市公报表格（计算加入巩义市）.xlsx]13'!$P$20:$P$28</c:f>
              <c:numCache>
                <c:formatCode>0.0000_ </c:formatCode>
                <c:ptCount val="9"/>
                <c:pt idx="0">
                  <c:v>0.3645</c:v>
                </c:pt>
                <c:pt idx="1">
                  <c:v>0.3608</c:v>
                </c:pt>
                <c:pt idx="2">
                  <c:v>0.248</c:v>
                </c:pt>
                <c:pt idx="3">
                  <c:v>0.389</c:v>
                </c:pt>
                <c:pt idx="4">
                  <c:v>0.1956</c:v>
                </c:pt>
                <c:pt idx="5">
                  <c:v>4.1241</c:v>
                </c:pt>
                <c:pt idx="6">
                  <c:v>0.48</c:v>
                </c:pt>
                <c:pt idx="7">
                  <c:v>0.1</c:v>
                </c:pt>
                <c:pt idx="8">
                  <c:v>0.3376</c:v>
                </c:pt>
              </c:numCache>
            </c:numRef>
          </c:val>
        </c:ser>
        <c:ser>
          <c:idx val="1"/>
          <c:order val="2"/>
          <c:tx>
            <c:strRef>
              <c:f>'[2018-市公报表格（计算加入巩义市）.xlsx]13'!$N$4</c:f>
              <c:strCache>
                <c:ptCount val="1"/>
                <c:pt idx="0">
                  <c:v>工业</c:v>
                </c:pt>
              </c:strCache>
            </c:strRef>
          </c:tx>
          <c:spPr>
            <a:solidFill>
              <a:schemeClr val="accent2">
                <a:lumMod val="60000"/>
                <a:lumOff val="40000"/>
              </a:schemeClr>
            </a:solidFill>
            <a:ln>
              <a:noFill/>
            </a:ln>
            <a:effectLst>
              <a:innerShdw blurRad="63500" dist="50800" dir="16200000">
                <a:prstClr val="black">
                  <a:alpha val="50000"/>
                </a:prstClr>
              </a:innerShdw>
            </a:effectLst>
            <a:scene3d>
              <a:camera prst="orthographicFront"/>
              <a:lightRig rig="soft" dir="t"/>
            </a:scene3d>
            <a:sp3d/>
          </c:spPr>
          <c:invertIfNegative val="0"/>
          <c:dLbls>
            <c:delete val="1"/>
          </c:dLbls>
          <c:cat>
            <c:strRef>
              <c:f>'[2018-市公报表格（计算加入巩义市）.xlsx]13'!$A$20:$A$28</c:f>
              <c:strCache>
                <c:ptCount val="9"/>
                <c:pt idx="0">
                  <c:v>新密市</c:v>
                </c:pt>
                <c:pt idx="1">
                  <c:v>新郑市</c:v>
                </c:pt>
                <c:pt idx="2">
                  <c:v>荥阳市</c:v>
                </c:pt>
                <c:pt idx="3">
                  <c:v>登封市</c:v>
                </c:pt>
                <c:pt idx="4">
                  <c:v>中牟县</c:v>
                </c:pt>
                <c:pt idx="5">
                  <c:v>郑州市区</c:v>
                </c:pt>
                <c:pt idx="6">
                  <c:v>航空港区</c:v>
                </c:pt>
                <c:pt idx="7">
                  <c:v>上街区</c:v>
                </c:pt>
                <c:pt idx="8">
                  <c:v>巩义市</c:v>
                </c:pt>
              </c:strCache>
            </c:strRef>
          </c:cat>
          <c:val>
            <c:numRef>
              <c:f>'[2018-市公报表格（计算加入巩义市）.xlsx]13'!$K$20:$K$28</c:f>
              <c:numCache>
                <c:formatCode>0.0000_ </c:formatCode>
                <c:ptCount val="9"/>
                <c:pt idx="0">
                  <c:v>0.7214</c:v>
                </c:pt>
                <c:pt idx="1">
                  <c:v>0.462</c:v>
                </c:pt>
                <c:pt idx="2">
                  <c:v>0.68</c:v>
                </c:pt>
                <c:pt idx="3">
                  <c:v>0.5491</c:v>
                </c:pt>
                <c:pt idx="4">
                  <c:v>0.11</c:v>
                </c:pt>
                <c:pt idx="5">
                  <c:v>1.3682</c:v>
                </c:pt>
                <c:pt idx="6">
                  <c:v>0.64</c:v>
                </c:pt>
                <c:pt idx="7">
                  <c:v>0.17</c:v>
                </c:pt>
                <c:pt idx="8">
                  <c:v>0.5662</c:v>
                </c:pt>
              </c:numCache>
            </c:numRef>
          </c:val>
        </c:ser>
        <c:ser>
          <c:idx val="0"/>
          <c:order val="3"/>
          <c:tx>
            <c:strRef>
              <c:f>'[2018-市公报表格（计算加入巩义市）.xlsx]13'!$M$4</c:f>
              <c:strCache>
                <c:ptCount val="1"/>
                <c:pt idx="0">
                  <c:v>农业</c:v>
                </c:pt>
              </c:strCache>
            </c:strRef>
          </c:tx>
          <c:spPr>
            <a:solidFill>
              <a:schemeClr val="tx2">
                <a:lumMod val="60000"/>
                <a:lumOff val="40000"/>
              </a:schemeClr>
            </a:solidFill>
            <a:ln>
              <a:noFill/>
            </a:ln>
            <a:effectLst>
              <a:innerShdw blurRad="63500" dist="50800" dir="16200000">
                <a:prstClr val="black">
                  <a:alpha val="50000"/>
                </a:prstClr>
              </a:innerShdw>
            </a:effectLst>
            <a:scene3d>
              <a:camera prst="orthographicFront"/>
              <a:lightRig rig="soft" dir="t"/>
            </a:scene3d>
            <a:sp3d/>
          </c:spPr>
          <c:invertIfNegative val="0"/>
          <c:dPt>
            <c:idx val="5"/>
            <c:invertIfNegative val="0"/>
            <c:bubble3D val="0"/>
          </c:dPt>
          <c:dLbls>
            <c:delete val="1"/>
          </c:dLbls>
          <c:cat>
            <c:strRef>
              <c:f>'[2018-市公报表格（计算加入巩义市）.xlsx]13'!$A$20:$A$28</c:f>
              <c:strCache>
                <c:ptCount val="9"/>
                <c:pt idx="0">
                  <c:v>新密市</c:v>
                </c:pt>
                <c:pt idx="1">
                  <c:v>新郑市</c:v>
                </c:pt>
                <c:pt idx="2">
                  <c:v>荥阳市</c:v>
                </c:pt>
                <c:pt idx="3">
                  <c:v>登封市</c:v>
                </c:pt>
                <c:pt idx="4">
                  <c:v>中牟县</c:v>
                </c:pt>
                <c:pt idx="5">
                  <c:v>郑州市区</c:v>
                </c:pt>
                <c:pt idx="6">
                  <c:v>航空港区</c:v>
                </c:pt>
                <c:pt idx="7">
                  <c:v>上街区</c:v>
                </c:pt>
                <c:pt idx="8">
                  <c:v>巩义市</c:v>
                </c:pt>
              </c:strCache>
            </c:strRef>
          </c:cat>
          <c:val>
            <c:numRef>
              <c:f>'[2018-市公报表格（计算加入巩义市）.xlsx]13'!$H$20:$H$28</c:f>
              <c:numCache>
                <c:formatCode>0.0000_ </c:formatCode>
                <c:ptCount val="9"/>
                <c:pt idx="0">
                  <c:v>0.1886</c:v>
                </c:pt>
                <c:pt idx="1">
                  <c:v>0.5389</c:v>
                </c:pt>
                <c:pt idx="2">
                  <c:v>0.68</c:v>
                </c:pt>
                <c:pt idx="3">
                  <c:v>0.3626</c:v>
                </c:pt>
                <c:pt idx="4">
                  <c:v>1.719</c:v>
                </c:pt>
                <c:pt idx="5">
                  <c:v>0.152000000000001</c:v>
                </c:pt>
                <c:pt idx="6">
                  <c:v>0.11</c:v>
                </c:pt>
                <c:pt idx="7">
                  <c:v>0.0057</c:v>
                </c:pt>
                <c:pt idx="8">
                  <c:v>0.475</c:v>
                </c:pt>
              </c:numCache>
            </c:numRef>
          </c:val>
        </c:ser>
        <c:dLbls>
          <c:showLegendKey val="0"/>
          <c:showVal val="0"/>
          <c:showCatName val="0"/>
          <c:showSerName val="0"/>
          <c:showPercent val="0"/>
          <c:showBubbleSize val="0"/>
        </c:dLbls>
        <c:gapWidth val="129"/>
        <c:overlap val="100"/>
        <c:axId val="226760960"/>
        <c:axId val="227418112"/>
      </c:barChart>
      <c:catAx>
        <c:axId val="226760960"/>
        <c:scaling>
          <c:orientation val="minMax"/>
        </c:scaling>
        <c:delete val="0"/>
        <c:axPos val="b"/>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crossAx val="227418112"/>
        <c:crosses val="autoZero"/>
        <c:auto val="1"/>
        <c:lblAlgn val="ctr"/>
        <c:lblOffset val="100"/>
        <c:noMultiLvlLbl val="0"/>
      </c:catAx>
      <c:valAx>
        <c:axId val="227418112"/>
        <c:scaling>
          <c:orientation val="minMax"/>
        </c:scaling>
        <c:delete val="0"/>
        <c:axPos val="l"/>
        <c:majorGridlines>
          <c:spPr>
            <a:ln w="9525" cap="flat" cmpd="sng" algn="ctr">
              <a:solidFill>
                <a:schemeClr val="tx1">
                  <a:tint val="75000"/>
                  <a:shade val="95000"/>
                  <a:satMod val="105000"/>
                </a:schemeClr>
              </a:solidFill>
              <a:prstDash val="sysDot"/>
              <a:round/>
            </a:ln>
          </c:spPr>
        </c:majorGridlines>
        <c:title>
          <c:tx>
            <c:rich>
              <a:bodyPr rot="0" spcFirstLastPara="0" vertOverflow="ellipsis"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r>
                  <a:rPr lang="zh-CN" b="0">
                    <a:latin typeface="宋体" panose="02010600030101010101" charset="-122"/>
                    <a:ea typeface="宋体" panose="02010600030101010101" charset="-122"/>
                    <a:cs typeface="宋体" panose="02010600030101010101" charset="-122"/>
                    <a:sym typeface="宋体" panose="02010600030101010101" charset="-122"/>
                  </a:rPr>
                  <a:t>亿</a:t>
                </a:r>
                <a:r>
                  <a:rPr lang="en-US" b="0">
                    <a:latin typeface="宋体" panose="02010600030101010101" charset="-122"/>
                    <a:ea typeface="宋体" panose="02010600030101010101" charset="-122"/>
                    <a:cs typeface="宋体" panose="02010600030101010101" charset="-122"/>
                    <a:sym typeface="宋体" panose="02010600030101010101" charset="-122"/>
                  </a:rPr>
                  <a:t>m</a:t>
                </a:r>
                <a:r>
                  <a:rPr lang="en-US" b="0" baseline="30000">
                    <a:latin typeface="宋体" panose="02010600030101010101" charset="-122"/>
                    <a:ea typeface="宋体" panose="02010600030101010101" charset="-122"/>
                    <a:cs typeface="宋体" panose="02010600030101010101" charset="-122"/>
                    <a:sym typeface="宋体" panose="02010600030101010101" charset="-122"/>
                  </a:rPr>
                  <a:t>3</a:t>
                </a:r>
                <a:endParaRPr lang="zh-CN" b="0" baseline="30000">
                  <a:latin typeface="宋体" panose="02010600030101010101" charset="-122"/>
                  <a:ea typeface="宋体" panose="02010600030101010101" charset="-122"/>
                  <a:cs typeface="宋体" panose="02010600030101010101" charset="-122"/>
                  <a:sym typeface="宋体" panose="02010600030101010101" charset="-122"/>
                </a:endParaRPr>
              </a:p>
            </c:rich>
          </c:tx>
          <c:layout>
            <c:manualLayout>
              <c:xMode val="edge"/>
              <c:yMode val="edge"/>
              <c:x val="0.0180213279740983"/>
              <c:y val="0.0225080900176523"/>
            </c:manualLayout>
          </c:layout>
          <c:overlay val="0"/>
        </c:title>
        <c:numFmt formatCode="0_ "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crossAx val="226760960"/>
        <c:crosses val="autoZero"/>
        <c:crossBetween val="between"/>
      </c:valAx>
      <c:spPr>
        <a:noFill/>
      </c:spPr>
    </c:plotArea>
    <c:legend>
      <c:legendPos val="r"/>
      <c:legendEntry>
        <c:idx val="0"/>
        <c:txPr>
          <a:bodyPr rot="0" spcFirstLastPara="0" vertOverflow="ellipsis"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1"/>
        <c:txPr>
          <a:bodyPr rot="0" spcFirstLastPara="0" vertOverflow="ellipsis"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2"/>
        <c:txPr>
          <a:bodyPr rot="0" spcFirstLastPara="0" vertOverflow="ellipsis"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egendEntry>
        <c:idx val="3"/>
        <c:txPr>
          <a:bodyPr rot="0" spcFirstLastPara="0" vertOverflow="ellipsis" vert="horz" wrap="square" anchor="ctr" anchorCtr="1"/>
          <a:lstStyle/>
          <a:p>
            <a:pPr>
              <a:defRPr lang="zh-CN" sz="12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Entry>
      <c:layout>
        <c:manualLayout>
          <c:xMode val="edge"/>
          <c:yMode val="edge"/>
          <c:x val="0.228622114103159"/>
          <c:y val="0.00500166722240747"/>
          <c:w val="0.615191029704219"/>
          <c:h val="0.122831497314592"/>
        </c:manualLayout>
      </c:layout>
      <c:overlay val="0"/>
      <c:txPr>
        <a:bodyPr rot="0" spcFirstLastPara="0" vertOverflow="ellipsis" vert="horz" wrap="square" anchor="ctr" anchorCtr="1"/>
        <a:lstStyle/>
        <a:p>
          <a:pPr>
            <a:defRPr lang="zh-CN" sz="1400" b="0" i="0" u="none" strike="noStrike" kern="1200" baseline="0">
              <a:solidFill>
                <a:schemeClr val="tx1"/>
              </a:solidFill>
              <a:latin typeface="宋体" panose="02010600030101010101" charset="-122"/>
              <a:ea typeface="宋体" panose="02010600030101010101" charset="-122"/>
              <a:cs typeface="宋体" panose="02010600030101010101" charset="-122"/>
              <a:sym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1200" b="0">
          <a:latin typeface="宋体" panose="02010600030101010101" charset="-122"/>
          <a:ea typeface="宋体" panose="02010600030101010101" charset="-122"/>
          <a:cs typeface="宋体" panose="02010600030101010101" charset="-122"/>
          <a:sym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086686064011"/>
          <c:y val="0.00823045267489712"/>
          <c:w val="0.527340222735026"/>
          <c:h val="0.901234567901235"/>
        </c:manualLayout>
      </c:layout>
      <c:pieChart>
        <c:varyColors val="1"/>
        <c:ser>
          <c:idx val="0"/>
          <c:order val="0"/>
          <c:spPr>
            <a:solidFill>
              <a:srgbClr val="9999FF"/>
            </a:solidFill>
            <a:ln w="25400">
              <a:noFill/>
            </a:ln>
            <a:effectLst>
              <a:outerShdw blurRad="50800" dist="38100" algn="l" rotWithShape="0">
                <a:prstClr val="black">
                  <a:alpha val="40000"/>
                </a:prstClr>
              </a:outerShdw>
            </a:effectLst>
            <a:scene3d>
              <a:camera prst="orthographicFront"/>
              <a:lightRig rig="threePt" dir="t"/>
            </a:scene3d>
            <a:sp3d>
              <a:bevelT/>
            </a:sp3d>
          </c:spPr>
          <c:explosion val="6"/>
          <c:dPt>
            <c:idx val="0"/>
            <c:bubble3D val="0"/>
            <c:spPr>
              <a:gradFill rotWithShape="0">
                <a:gsLst>
                  <a:gs pos="0">
                    <a:srgbClr val="8064A2"/>
                  </a:gs>
                  <a:gs pos="50000">
                    <a:srgbClr val="8064A2">
                      <a:lumMod val="60000"/>
                      <a:lumOff val="40000"/>
                    </a:srgbClr>
                  </a:gs>
                  <a:gs pos="100000">
                    <a:schemeClr val="accent4">
                      <a:lumMod val="50000"/>
                    </a:schemeClr>
                  </a:gs>
                </a:gsLst>
                <a:lin ang="0" scaled="1"/>
              </a:gradFill>
              <a:ln w="25400">
                <a:noFill/>
              </a:ln>
              <a:effectLst>
                <a:outerShdw blurRad="50800" dist="38100" algn="l" rotWithShape="0">
                  <a:prstClr val="black">
                    <a:alpha val="40000"/>
                  </a:prstClr>
                </a:outerShdw>
              </a:effectLst>
              <a:scene3d>
                <a:camera prst="orthographicFront"/>
                <a:lightRig rig="threePt" dir="t"/>
              </a:scene3d>
              <a:sp3d>
                <a:bevelT/>
              </a:sp3d>
            </c:spPr>
          </c:dPt>
          <c:dPt>
            <c:idx val="1"/>
            <c:bubble3D val="0"/>
            <c:spPr>
              <a:gradFill rotWithShape="0">
                <a:gsLst>
                  <a:gs pos="0">
                    <a:srgbClr val="F79646"/>
                  </a:gs>
                  <a:gs pos="50000">
                    <a:schemeClr val="accent6">
                      <a:lumMod val="60000"/>
                      <a:lumOff val="40000"/>
                    </a:schemeClr>
                  </a:gs>
                  <a:gs pos="100000">
                    <a:srgbClr val="F79646">
                      <a:lumMod val="75000"/>
                    </a:srgbClr>
                  </a:gs>
                </a:gsLst>
                <a:lin ang="0" scaled="1"/>
              </a:gradFill>
              <a:ln w="25400">
                <a:noFill/>
              </a:ln>
              <a:effectLst>
                <a:outerShdw blurRad="50800" dist="38100" algn="l" rotWithShape="0">
                  <a:prstClr val="black">
                    <a:alpha val="40000"/>
                  </a:prstClr>
                </a:outerShdw>
              </a:effectLst>
              <a:scene3d>
                <a:camera prst="orthographicFront"/>
                <a:lightRig rig="threePt" dir="t"/>
              </a:scene3d>
              <a:sp3d>
                <a:bevelT/>
              </a:sp3d>
            </c:spPr>
          </c:dPt>
          <c:dPt>
            <c:idx val="2"/>
            <c:bubble3D val="0"/>
            <c:spPr>
              <a:gradFill rotWithShape="0">
                <a:gsLst>
                  <a:gs pos="0">
                    <a:srgbClr val="FFFF00"/>
                  </a:gs>
                  <a:gs pos="50000">
                    <a:srgbClr val="FFFF99"/>
                  </a:gs>
                  <a:gs pos="100000">
                    <a:srgbClr val="CCCC00"/>
                  </a:gs>
                </a:gsLst>
                <a:lin ang="0" scaled="1"/>
              </a:gradFill>
              <a:ln w="25400">
                <a:noFill/>
              </a:ln>
              <a:effectLst>
                <a:outerShdw blurRad="50800" dist="38100" algn="l" rotWithShape="0">
                  <a:prstClr val="black">
                    <a:alpha val="40000"/>
                  </a:prstClr>
                </a:outerShdw>
              </a:effectLst>
              <a:scene3d>
                <a:camera prst="orthographicFront"/>
                <a:lightRig rig="threePt" dir="t"/>
              </a:scene3d>
              <a:sp3d>
                <a:bevelT/>
              </a:sp3d>
            </c:spPr>
          </c:dPt>
          <c:dPt>
            <c:idx val="3"/>
            <c:bubble3D val="0"/>
            <c:spPr>
              <a:gradFill rotWithShape="0">
                <a:gsLst>
                  <a:gs pos="0">
                    <a:srgbClr val="00CCFF">
                      <a:gamma/>
                      <a:shade val="46275"/>
                      <a:invGamma/>
                    </a:srgbClr>
                  </a:gs>
                  <a:gs pos="50000">
                    <a:srgbClr val="00CCFF"/>
                  </a:gs>
                  <a:gs pos="100000">
                    <a:srgbClr val="00CCFF">
                      <a:gamma/>
                      <a:shade val="46275"/>
                      <a:invGamma/>
                    </a:srgbClr>
                  </a:gs>
                </a:gsLst>
                <a:lin ang="0" scaled="1"/>
              </a:gradFill>
              <a:ln w="25400">
                <a:noFill/>
              </a:ln>
              <a:effectLst>
                <a:outerShdw blurRad="50800" dist="38100" algn="l" rotWithShape="0">
                  <a:prstClr val="black">
                    <a:alpha val="40000"/>
                  </a:prstClr>
                </a:outerShdw>
              </a:effectLst>
              <a:scene3d>
                <a:camera prst="orthographicFront"/>
                <a:lightRig rig="threePt" dir="t"/>
              </a:scene3d>
              <a:sp3d>
                <a:bevelT/>
              </a:sp3d>
            </c:spPr>
          </c:dPt>
          <c:dLbls>
            <c:dLbl>
              <c:idx val="0"/>
              <c:layout>
                <c:manualLayout>
                  <c:x val="-0.319158154318428"/>
                  <c:y val="0.15750403524814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332236498165546"/>
                  <c:y val="-0.2470157889187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364551070145219"/>
                  <c:y val="-0.146390246989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321733081144678"/>
                  <c:y val="0.23659162772590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'[2018-市公报表格（计算加入巩义市）.xlsx]13'!$M$4:$P$4</c:f>
              <c:strCache>
                <c:ptCount val="4"/>
                <c:pt idx="0">
                  <c:v>农业</c:v>
                </c:pt>
                <c:pt idx="1">
                  <c:v>工业</c:v>
                </c:pt>
                <c:pt idx="2">
                  <c:v>生活</c:v>
                </c:pt>
                <c:pt idx="3">
                  <c:v>生态环境</c:v>
                </c:pt>
              </c:strCache>
            </c:strRef>
          </c:cat>
          <c:val>
            <c:numRef>
              <c:f>'[2018-市公报表格（计算加入巩义市）.xlsx]13'!$M$6:$P$6</c:f>
              <c:numCache>
                <c:formatCode>0.0%</c:formatCode>
                <c:ptCount val="4"/>
                <c:pt idx="0">
                  <c:v>0.284</c:v>
                </c:pt>
                <c:pt idx="1">
                  <c:v>0.254360970521191</c:v>
                </c:pt>
                <c:pt idx="2">
                  <c:v>0.318722713750338</c:v>
                </c:pt>
                <c:pt idx="3">
                  <c:v>0.222544720472897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noFill/>
    <a:ln w="9525" cap="flat" cmpd="sng" algn="ctr">
      <a:noFill/>
      <a:prstDash val="solid"/>
      <a:round/>
    </a:ln>
    <a:scene3d>
      <a:camera prst="orthographicFront"/>
      <a:lightRig rig="threePt" dir="t"/>
    </a:scene3d>
    <a:sp3d>
      <a:bevelT w="165100" prst="coolSlant"/>
    </a:sp3d>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0930751474737112"/>
          <c:y val="0.143585847623182"/>
          <c:w val="0.862426263144396"/>
          <c:h val="0.739461688734534"/>
        </c:manualLayout>
      </c:layout>
      <c:barChart>
        <c:barDir val="col"/>
        <c:grouping val="standard"/>
        <c:varyColors val="0"/>
        <c:ser>
          <c:idx val="0"/>
          <c:order val="0"/>
          <c:tx>
            <c:strRef>
              <c:f>'[2018-市公报表格（计算加入巩义市）.xlsx]15'!$C$33</c:f>
              <c:strCache>
                <c:ptCount val="1"/>
                <c:pt idx="0">
                  <c:v>用水量</c:v>
                </c:pt>
              </c:strCache>
            </c:strRef>
          </c:tx>
          <c:invertIfNegative val="0"/>
          <c:dLbls>
            <c:dLbl>
              <c:idx val="2"/>
              <c:layout>
                <c:manualLayout>
                  <c:x val="0.00555555555555556"/>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'[2018-市公报表格（计算加入巩义市）.xlsx]15'!$D$32:$G$32</c:f>
              <c:strCache>
                <c:ptCount val="4"/>
                <c:pt idx="0">
                  <c:v>农业</c:v>
                </c:pt>
                <c:pt idx="1">
                  <c:v>工业</c:v>
                </c:pt>
                <c:pt idx="2" c:formatCode="0.00_ ">
                  <c:v>生活</c:v>
                </c:pt>
                <c:pt idx="3">
                  <c:v>生态环境</c:v>
                </c:pt>
              </c:strCache>
            </c:strRef>
          </c:cat>
          <c:val>
            <c:numRef>
              <c:f>'[2018-市公报表格（计算加入巩义市）.xlsx]15'!$D$33:$G$33</c:f>
              <c:numCache>
                <c:formatCode>0.0000</c:formatCode>
                <c:ptCount val="4"/>
                <c:pt idx="0">
                  <c:v>4.2318</c:v>
                </c:pt>
                <c:pt idx="1">
                  <c:v>5.2669</c:v>
                </c:pt>
                <c:pt idx="2">
                  <c:v>6.5996</c:v>
                </c:pt>
                <c:pt idx="3">
                  <c:v>4.6081</c:v>
                </c:pt>
              </c:numCache>
            </c:numRef>
          </c:val>
        </c:ser>
        <c:ser>
          <c:idx val="1"/>
          <c:order val="1"/>
          <c:tx>
            <c:strRef>
              <c:f>'[2018-市公报表格（计算加入巩义市）.xlsx]15'!$C$34</c:f>
              <c:strCache>
                <c:ptCount val="1"/>
                <c:pt idx="0">
                  <c:v>耗水量</c:v>
                </c:pt>
              </c:strCache>
            </c:strRef>
          </c:tx>
          <c:invertIfNegative val="0"/>
          <c:dLbls>
            <c:dLbl>
              <c:idx val="0"/>
              <c:layout>
                <c:manualLayout>
                  <c:x val="0.0138888888888889"/>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666666666666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05555555555556"/>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8888888888888"/>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dk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'[2018-市公报表格（计算加入巩义市）.xlsx]15'!$D$32:$G$32</c:f>
              <c:strCache>
                <c:ptCount val="4"/>
                <c:pt idx="0">
                  <c:v>农业</c:v>
                </c:pt>
                <c:pt idx="1">
                  <c:v>工业</c:v>
                </c:pt>
                <c:pt idx="2" c:formatCode="0.00_ ">
                  <c:v>生活</c:v>
                </c:pt>
                <c:pt idx="3">
                  <c:v>生态环境</c:v>
                </c:pt>
              </c:strCache>
            </c:strRef>
          </c:cat>
          <c:val>
            <c:numRef>
              <c:f>'[2018-市公报表格（计算加入巩义市）.xlsx]15'!$D$34:$G$34</c:f>
              <c:numCache>
                <c:formatCode>0.0000</c:formatCode>
                <c:ptCount val="4"/>
                <c:pt idx="0">
                  <c:v>2.9953</c:v>
                </c:pt>
                <c:pt idx="1">
                  <c:v>1.2593</c:v>
                </c:pt>
                <c:pt idx="2">
                  <c:v>2.2111</c:v>
                </c:pt>
                <c:pt idx="3">
                  <c:v>2.7851</c:v>
                </c:pt>
              </c:numCache>
            </c:numRef>
          </c:val>
        </c:ser>
        <c:dLbls>
          <c:showLegendKey val="0"/>
          <c:showVal val="0"/>
          <c:showCatName val="0"/>
          <c:showSerName val="0"/>
          <c:showPercent val="0"/>
          <c:showBubbleSize val="0"/>
        </c:dLbls>
        <c:gapWidth val="256"/>
        <c:axId val="226887936"/>
        <c:axId val="226910208"/>
      </c:barChart>
      <c:catAx>
        <c:axId val="2268879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dk1"/>
                </a:solidFill>
                <a:latin typeface="+mn-lt"/>
                <a:ea typeface="+mn-ea"/>
                <a:cs typeface="+mn-cs"/>
              </a:defRPr>
            </a:pPr>
          </a:p>
        </c:txPr>
        <c:crossAx val="226910208"/>
        <c:crosses val="autoZero"/>
        <c:auto val="1"/>
        <c:lblAlgn val="ctr"/>
        <c:lblOffset val="100"/>
        <c:noMultiLvlLbl val="0"/>
      </c:catAx>
      <c:valAx>
        <c:axId val="226910208"/>
        <c:scaling>
          <c:orientation val="minMax"/>
          <c:max val="7"/>
          <c:min val="0"/>
        </c:scaling>
        <c:delete val="0"/>
        <c:axPos val="l"/>
        <c:majorGridlines>
          <c:spPr>
            <a:ln w="9525" cap="flat" cmpd="sng" algn="ctr">
              <a:noFill/>
              <a:prstDash val="solid"/>
              <a:round/>
            </a:ln>
          </c:spPr>
        </c:majorGridlines>
        <c:numFmt formatCode="General"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dk1"/>
                </a:solidFill>
                <a:latin typeface="+mn-lt"/>
                <a:ea typeface="+mn-ea"/>
                <a:cs typeface="+mn-cs"/>
              </a:defRPr>
            </a:pPr>
          </a:p>
        </c:txPr>
        <c:crossAx val="226887936"/>
        <c:crosses val="autoZero"/>
        <c:crossBetween val="between"/>
        <c:majorUnit val="1"/>
      </c:valAx>
      <c:spPr>
        <a:noFill/>
        <a:ln>
          <a:noFill/>
        </a:ln>
        <a:effectLst/>
      </c:spPr>
    </c:plotArea>
    <c:legend>
      <c:legendPos val="r"/>
      <c:legendEntry>
        <c:idx val="0"/>
        <c:txPr>
          <a:bodyPr rot="0" spcFirstLastPara="0" vertOverflow="ellipsis" vert="horz" wrap="square" anchor="ctr" anchorCtr="1"/>
          <a:lstStyle/>
          <a:p>
            <a:pPr>
              <a:defRPr lang="zh-CN" sz="1200" b="0" i="0" u="none" strike="noStrike" kern="1200" baseline="0">
                <a:solidFill>
                  <a:schemeClr val="dk1"/>
                </a:solidFill>
                <a:latin typeface="+mn-lt"/>
                <a:ea typeface="+mn-ea"/>
                <a:cs typeface="+mn-cs"/>
              </a:defRPr>
            </a:pPr>
          </a:p>
        </c:txPr>
      </c:legendEntry>
      <c:legendEntry>
        <c:idx val="1"/>
        <c:txPr>
          <a:bodyPr rot="0" spcFirstLastPara="0" vertOverflow="ellipsis" vert="horz" wrap="square" anchor="ctr" anchorCtr="1"/>
          <a:lstStyle/>
          <a:p>
            <a:pPr>
              <a:defRPr lang="zh-CN" sz="1200" b="0" i="0" u="none" strike="noStrike" kern="1200" baseline="0">
                <a:solidFill>
                  <a:schemeClr val="dk1"/>
                </a:solidFill>
                <a:latin typeface="+mn-lt"/>
                <a:ea typeface="+mn-ea"/>
                <a:cs typeface="+mn-cs"/>
              </a:defRPr>
            </a:pPr>
          </a:p>
        </c:txPr>
      </c:legendEntry>
      <c:layout>
        <c:manualLayout>
          <c:xMode val="edge"/>
          <c:yMode val="edge"/>
          <c:x val="0.685"/>
          <c:y val="0.00694605232692753"/>
          <c:w val="0.310833333333333"/>
          <c:h val="0.102570039360963"/>
        </c:manualLayout>
      </c:layout>
      <c:overlay val="0"/>
      <c:txPr>
        <a:bodyPr rot="0" spcFirstLastPara="0" vertOverflow="ellipsis" vert="horz" wrap="square" anchor="ctr" anchorCtr="1"/>
        <a:lstStyle/>
        <a:p>
          <a:pPr>
            <a:defRPr lang="zh-CN" sz="1200" b="0" i="0" u="none" strike="noStrike" kern="1200" baseline="0">
              <a:solidFill>
                <a:schemeClr val="dk1"/>
              </a:solidFill>
              <a:latin typeface="+mn-lt"/>
              <a:ea typeface="+mn-ea"/>
              <a:cs typeface="+mn-cs"/>
            </a:defRPr>
          </a:pPr>
        </a:p>
      </c:txPr>
    </c:legend>
    <c:plotVisOnly val="1"/>
    <c:dispBlanksAs val="gap"/>
    <c:showDLblsOverMax val="0"/>
  </c:chart>
  <c:spPr>
    <a:noFill/>
    <a:ln w="9525" cap="flat" cmpd="sng" algn="ctr">
      <a:noFill/>
      <a:prstDash val="solid"/>
      <a:round/>
    </a:ln>
  </c:spPr>
  <c:txPr>
    <a:bodyPr/>
    <a:lstStyle/>
    <a:p>
      <a:pPr>
        <a:defRPr lang="zh-CN" sz="1200"/>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01167152980408"/>
          <c:y val="0.0324160447761194"/>
          <c:w val="0.9157148812005"/>
          <c:h val="0.871128731343284"/>
        </c:manualLayout>
      </c:layout>
      <c:barChart>
        <c:barDir val="col"/>
        <c:grouping val="clustered"/>
        <c:varyColors val="0"/>
        <c:ser>
          <c:idx val="0"/>
          <c:order val="0"/>
          <c:tx>
            <c:strRef>
              <c:f>'[2018-市公报表格.xlsx]18'!$K$95</c:f>
              <c:strCache>
                <c:ptCount val="1"/>
                <c:pt idx="0">
                  <c:v>全因子评价达标率</c:v>
                </c:pt>
              </c:strCache>
            </c:strRef>
          </c:tx>
          <c:spPr>
            <a:gradFill>
              <a:gsLst>
                <a:gs pos="0">
                  <a:srgbClr val="14CD68"/>
                </a:gs>
                <a:gs pos="100000">
                  <a:srgbClr val="0B6E38"/>
                </a:gs>
              </a:gsLst>
              <a:lin ang="10800000" scaled="0"/>
            </a:gradFill>
            <a:ln>
              <a:noFill/>
            </a:ln>
            <a:effectLst>
              <a:innerShdw blurRad="63500" dist="50800" dir="10800000">
                <a:schemeClr val="bg2">
                  <a:lumMod val="25000"/>
                  <a:alpha val="50000"/>
                </a:schemeClr>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ea"/>
                    <a:ea typeface="+mn-ea"/>
                    <a:cs typeface="+mn-ea"/>
                    <a:sym typeface="+mn-ea"/>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'[2018-市公报表格.xlsx]18'!$E$93:$P$93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'[2018-市公报表格.xlsx]18'!$E$94:$O$94</c:f>
              <c:numCache>
                <c:formatCode>0.0%</c:formatCode>
                <c:ptCount val="11"/>
                <c:pt idx="0">
                  <c:v>0.4</c:v>
                </c:pt>
                <c:pt idx="1">
                  <c:v>0.423</c:v>
                </c:pt>
                <c:pt idx="2">
                  <c:v>0.346</c:v>
                </c:pt>
                <c:pt idx="3">
                  <c:v>0.423</c:v>
                </c:pt>
                <c:pt idx="4">
                  <c:v>0.385</c:v>
                </c:pt>
                <c:pt idx="5">
                  <c:v>0.462</c:v>
                </c:pt>
                <c:pt idx="6">
                  <c:v>0.5</c:v>
                </c:pt>
                <c:pt idx="7">
                  <c:v>0.5</c:v>
                </c:pt>
                <c:pt idx="8">
                  <c:v>0.462</c:v>
                </c:pt>
                <c:pt idx="9">
                  <c:v>0.615</c:v>
                </c:pt>
                <c:pt idx="10">
                  <c:v>0.5</c:v>
                </c:pt>
              </c:numCache>
            </c:numRef>
          </c:val>
        </c:ser>
        <c:dLbls>
          <c:showLegendKey val="0"/>
          <c:showVal val="1"/>
          <c:showCatName val="0"/>
          <c:showSerName val="0"/>
          <c:showPercent val="0"/>
          <c:showBubbleSize val="0"/>
        </c:dLbls>
        <c:gapWidth val="126"/>
        <c:overlap val="-12"/>
        <c:axId val="562098622"/>
        <c:axId val="227959457"/>
      </c:barChart>
      <c:catAx>
        <c:axId val="562098622"/>
        <c:scaling>
          <c:orientation val="minMax"/>
        </c:scaling>
        <c:delete val="0"/>
        <c:axPos val="b"/>
        <c:majorTickMark val="none"/>
        <c:minorTickMark val="none"/>
        <c:tickLblPos val="nextTo"/>
        <c:spPr>
          <a:noFill/>
          <a:ln w="12700" cap="flat" cmpd="sng" algn="ctr">
            <a:solidFill>
              <a:schemeClr val="tx1"/>
            </a:solidFill>
            <a:prstDash val="solid"/>
            <a:roun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mn-ea"/>
                <a:ea typeface="+mn-ea"/>
                <a:cs typeface="+mn-ea"/>
                <a:sym typeface="+mn-ea"/>
              </a:defRPr>
            </a:pPr>
          </a:p>
        </c:txPr>
        <c:crossAx val="227959457"/>
        <c:crosses val="autoZero"/>
        <c:auto val="1"/>
        <c:lblAlgn val="ctr"/>
        <c:lblOffset val="100"/>
        <c:noMultiLvlLbl val="0"/>
      </c:catAx>
      <c:valAx>
        <c:axId val="22795945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in"/>
        <c:minorTickMark val="none"/>
        <c:tickLblPos val="nextTo"/>
        <c:spPr>
          <a:noFill/>
          <a:ln w="12700" cmpd="sng">
            <a:solidFill>
              <a:schemeClr val="tx1"/>
            </a:solidFill>
            <a:prstDash val="soli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mn-ea"/>
                <a:ea typeface="+mn-ea"/>
                <a:cs typeface="+mn-ea"/>
                <a:sym typeface="+mn-ea"/>
              </a:defRPr>
            </a:pPr>
          </a:p>
        </c:txPr>
        <c:crossAx val="562098622"/>
        <c:crosses val="autoZero"/>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ea"/>
                <a:ea typeface="+mn-ea"/>
                <a:cs typeface="+mn-ea"/>
                <a:sym typeface="+mn-ea"/>
              </a:defRPr>
            </a:pPr>
          </a:p>
        </c:txPr>
      </c:legendEntry>
      <c:layout>
        <c:manualLayout>
          <c:xMode val="edge"/>
          <c:yMode val="edge"/>
          <c:x val="0.130502076170995"/>
          <c:y val="0.0436598258706467"/>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ea"/>
              <a:ea typeface="+mn-ea"/>
              <a:cs typeface="+mn-ea"/>
              <a:sym typeface="+mn-ea"/>
            </a:defRPr>
          </a:pPr>
        </a:p>
      </c:txPr>
    </c:legend>
    <c:plotVisOnly val="1"/>
    <c:dispBlanksAs val="gap"/>
    <c:showDLblsOverMax val="0"/>
  </c:chart>
  <c:spPr>
    <a:noFill/>
    <a:ln w="9525" cap="flat" cmpd="sng" algn="ctr">
      <a:noFill/>
      <a:round/>
    </a:ln>
    <a:effectLst/>
  </c:spPr>
  <c:txPr>
    <a:bodyPr/>
    <a:lstStyle/>
    <a:p>
      <a:pPr>
        <a:defRPr lang="zh-CN" sz="1200">
          <a:latin typeface="+mn-ea"/>
          <a:ea typeface="+mn-ea"/>
          <a:cs typeface="+mn-ea"/>
          <a:sym typeface="+mn-ea"/>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0.0508333333333333</cdr:x>
      <cdr:y>0</cdr:y>
    </cdr:from>
    <cdr:to>
      <cdr:x>0.185093333333333</cdr:x>
      <cdr:y>0.08873</cdr:y>
    </cdr:to>
    <cdr:sp>
      <cdr:nvSpPr>
        <cdr:cNvPr id="2" name="矩形 1"/>
        <cdr:cNvSpPr/>
      </cdr:nvSpPr>
      <cdr:spPr xmlns:a="http://schemas.openxmlformats.org/drawingml/2006/main">
        <a:xfrm xmlns:a="http://schemas.openxmlformats.org/drawingml/2006/main">
          <a:off x="232410" y="0"/>
          <a:ext cx="613837" cy="243348"/>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zh-CN" altLang="en-US" sz="1100"/>
            <a:t>亿</a:t>
          </a:r>
          <a:r>
            <a:rPr lang="en-US" altLang="zh-CN" sz="1100"/>
            <a:t>m</a:t>
          </a:r>
          <a:r>
            <a:rPr lang="en-US" altLang="zh-CN" sz="1100" baseline="30000"/>
            <a:t>3</a:t>
          </a:r>
          <a:endParaRPr lang="zh-CN" altLang="en-US" sz="1100" baseline="300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87F3BF-F708-41DC-8153-6A60AF1D8F9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42</Pages>
  <Words>12897</Words>
  <Characters>19582</Characters>
  <Lines>171</Lines>
  <Paragraphs>48</Paragraphs>
  <TotalTime>1</TotalTime>
  <ScaleCrop>false</ScaleCrop>
  <LinksUpToDate>false</LinksUpToDate>
  <CharactersWithSpaces>20379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2018-12-24T01:00:00Z</dcterms:created>
  <dc:creator>Sky123.Org</dc:creator>
  <cp:lastModifiedBy>王闯</cp:lastModifiedBy>
  <cp:lastPrinted>2019-12-20T02:34:00Z</cp:lastPrinted>
  <dcterms:modified xsi:type="dcterms:W3CDTF">2020-01-02T09:00:25Z</dcterms:modified>
  <dc:title>郑州市水资源公报</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