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63"/>
        </w:tabs>
        <w:ind w:firstLine="2650" w:firstLineChars="600"/>
        <w:jc w:val="both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郑州市水</w:t>
      </w:r>
      <w:r>
        <w:rPr>
          <w:rFonts w:hint="eastAsia" w:ascii="Times New Roman" w:hAnsi="黑体" w:eastAsia="黑体"/>
          <w:b/>
          <w:color w:val="000000"/>
          <w:sz w:val="44"/>
          <w:szCs w:val="44"/>
          <w:lang w:val="en-US" w:eastAsia="zh-CN"/>
        </w:rPr>
        <w:t>利</w:t>
      </w:r>
      <w:r>
        <w:rPr>
          <w:rFonts w:hint="eastAsia" w:ascii="Times New Roman" w:hAnsi="黑体" w:eastAsia="黑体"/>
          <w:b/>
          <w:color w:val="000000"/>
          <w:sz w:val="44"/>
          <w:szCs w:val="44"/>
        </w:rPr>
        <w:t>局</w:t>
      </w:r>
    </w:p>
    <w:p>
      <w:pPr>
        <w:tabs>
          <w:tab w:val="left" w:pos="1663"/>
        </w:tabs>
        <w:ind w:firstLine="1767" w:firstLineChars="400"/>
        <w:jc w:val="both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准予水行政许可决定书</w:t>
      </w:r>
    </w:p>
    <w:p>
      <w:pPr>
        <w:tabs>
          <w:tab w:val="left" w:pos="1663"/>
        </w:tabs>
        <w:jc w:val="right"/>
        <w:rPr>
          <w:rFonts w:hint="eastAsia" w:ascii="Times New Roman" w:hAnsi="黑体" w:eastAsia="黑体"/>
          <w:color w:val="000000"/>
          <w:sz w:val="30"/>
          <w:szCs w:val="30"/>
        </w:rPr>
      </w:pPr>
    </w:p>
    <w:p>
      <w:pPr>
        <w:tabs>
          <w:tab w:val="left" w:pos="1663"/>
        </w:tabs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郑水行许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20]07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1663"/>
        </w:tabs>
        <w:ind w:right="-92" w:rightChars="-44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许可事项：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关于对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郑州市莲花街与西南绕城高速公路互通式立交新建工程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水土保持方案的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批</w:t>
      </w: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663"/>
        </w:tabs>
        <w:ind w:left="92" w:leftChars="44" w:right="-92" w:rightChars="-44" w:firstLine="80" w:firstLineChars="25"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郑州市交通运输局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我局于2020年3月23日受理了你单位提出的《关于对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郑州市莲花街与西南绕城高速公路互通式立交新建工程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水土保持方案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批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的申请》。经审查，该申请符合法定受理条件，根据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第三十八条第一款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水行政许可实施办法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第三十二条第一项，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许可如下：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、基本同意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建设期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防治责任范围为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21.31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公倾。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水土流失防治执行北方土石山区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三）、基本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同意水土流失防治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目标为：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水土流失治理度9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流失控制比1.0，渣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土防护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%，林草植被恢复率9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%，林草覆盖率2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基本同意水土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流失防治分区及防治措施安排。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（五）、基本同意水土保持补偿费为255698.4元。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二、建设单位在工程建设中应全面落实《中华人民共和国水土保持法》的相关要求，并重点做好以下工作: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（一）、按照批准的水土保持方案，做好水土保持初步设计等后续设计，加强施工组织等管理工作，切实落实水土保持“三同时”制度。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（二）、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严格按照方案要求落实各项水保措施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各类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施工活动要严格限定在征占地范围内，严禁随意占压、扰动和破坏地表植被。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做好表土的剥离和综合利用。根据方案要求合理安排施工时序和水土保持措施进度，严格控制施工期间可能造成的水土流失。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认真做好施工期间的洒水、苫盖、拦挡等临时防护措施，扬尘污染防治达到“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”要求。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（三）、严格按照水利部相关要求，切实做好水土保持监测工作，加强水土流失动态监控，并按规定向我局提交监测季度报告及总结报告。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（四）、严格按照水利部相关要求，认真做好水土保持监理工作，确保水土保持工程质量。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三、本项目属水土保持“未批先建”项目 ，建设单位要进一步增强水保意识，严格执行水土保持法相关规定，防止此类行为再次发生。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四、本项目的地点、规模如发生重大变化，或水土保持方案实施过程中水土保持措施发生重大变更，应补充或者修改水土保持方案，并报我局审批。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五、本项目在竣工验收和投入使用前应通过水土保持自主验收；自主验收应根据水土保持法律法规、标准规范、水土保持方案及本审批决定、水土保持后续设计等进行，严格执行水土保持设施验收标准和条件；生产建设单位应当在水土保持设施验收通过3个月内，向我局报备水土保持设施验收材料；水土保持设施未验收或验收不合格的，建设项目不得投入使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联系人：孙立波，0371—67581091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刘  杰，0371—67721829                    </w:t>
      </w:r>
    </w:p>
    <w:p>
      <w:pPr>
        <w:tabs>
          <w:tab w:val="left" w:pos="1663"/>
        </w:tabs>
        <w:ind w:right="-92" w:rightChars="-44"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郑州市莲花街与西南绕城高速公路互通式立交新建工程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水土保持方案报告书技术评审意见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2020年3月24日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bookmarkStart w:id="0" w:name="_GoBack"/>
      <w:bookmarkEnd w:id="0"/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D3521"/>
    <w:rsid w:val="55ED3521"/>
    <w:rsid w:val="6E4A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2020-03-23T07:36:00Z</dcterms:created>
  <dc:creator>4032-K31</dc:creator>
  <cp:lastModifiedBy>4032-K31</cp:lastModifiedBy>
  <dcterms:modified xsi:type="dcterms:W3CDTF">2020-03-24T02:45:43Z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