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20]26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贾峪河生态治理工程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郑州市贾峪河生态治理工程建设管理局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我局于2020年6月12日受理了你单位提出的《关于对</w:t>
      </w:r>
      <w:bookmarkStart w:id="0" w:name="_GoBack"/>
      <w:r>
        <w:rPr>
          <w:rFonts w:hint="eastAsia" w:ascii="仿宋" w:hAnsi="仿宋" w:eastAsia="仿宋" w:cs="仿宋"/>
          <w:b w:val="0"/>
          <w:bCs/>
          <w:sz w:val="32"/>
          <w:szCs w:val="32"/>
        </w:rPr>
        <w:t>贾峪河生态治理工程</w:t>
      </w:r>
      <w:bookmarkEnd w:id="0"/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的申请》（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贾峪河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建管局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[2020]2号）。经审查，该申请符合法定受理条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防治责任范围为76.71公倾。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设计水平年（2022年）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表土保护率95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（五）、基本同意建设期水土保持补偿费为920523.6元。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（四）、严格按照水利部相关要求，落实水土保持监理工作，确保水土保持工程质量。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三、本工程的地点、规模如发生重大变化，或水土保持方案实施过程中水土保持措施发生重大变更，应补充或者修改水土保持方案，并报我局审批。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四、本工程在竣工验收和投产使用前应通过水土保持自主验收；自主验收应根据水土保持有关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                   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贾峪河生态治理工程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联系人：孙立波，电话：67581091</w:t>
      </w:r>
    </w:p>
    <w:p>
      <w:pP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刘  杰，电话；67721829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2020年6月24日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B4EBC"/>
    <w:rsid w:val="00D86AE6"/>
    <w:rsid w:val="028948BE"/>
    <w:rsid w:val="0AF339C1"/>
    <w:rsid w:val="12502374"/>
    <w:rsid w:val="193F15DA"/>
    <w:rsid w:val="1A8C6C46"/>
    <w:rsid w:val="1E8E4043"/>
    <w:rsid w:val="24C016F6"/>
    <w:rsid w:val="2AD508B0"/>
    <w:rsid w:val="361F04C4"/>
    <w:rsid w:val="4B736ED6"/>
    <w:rsid w:val="4C231A2D"/>
    <w:rsid w:val="4E8148E7"/>
    <w:rsid w:val="50875C3F"/>
    <w:rsid w:val="6026645C"/>
    <w:rsid w:val="670B4EBC"/>
    <w:rsid w:val="6A902952"/>
    <w:rsid w:val="6EDA4245"/>
    <w:rsid w:val="6F02253C"/>
    <w:rsid w:val="7BD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2019-11-12T08:10:00Z</dcterms:created>
  <dc:creator>4032-K31</dc:creator>
  <cp:lastModifiedBy>4032-K31</cp:lastModifiedBy>
  <cp:lastPrinted>2020-06-24T07:58:59Z</cp:lastPrinted>
  <dcterms:modified xsi:type="dcterms:W3CDTF">2020-06-24T08:05:08Z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