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63"/>
        </w:tabs>
        <w:ind w:firstLine="2650" w:firstLineChars="600"/>
        <w:jc w:val="both"/>
        <w:rPr>
          <w:rFonts w:hint="eastAsia" w:ascii="Times New Roman" w:hAnsi="黑体" w:eastAsia="黑体"/>
          <w:b/>
          <w:color w:val="000000"/>
          <w:sz w:val="44"/>
          <w:szCs w:val="44"/>
        </w:rPr>
      </w:pPr>
      <w:r>
        <w:rPr>
          <w:rFonts w:hint="eastAsia" w:ascii="Times New Roman" w:hAnsi="黑体" w:eastAsia="黑体"/>
          <w:b/>
          <w:color w:val="000000"/>
          <w:sz w:val="44"/>
          <w:szCs w:val="44"/>
        </w:rPr>
        <w:t>郑州市水</w:t>
      </w:r>
      <w:r>
        <w:rPr>
          <w:rFonts w:hint="eastAsia" w:ascii="Times New Roman" w:hAnsi="黑体" w:eastAsia="黑体"/>
          <w:b/>
          <w:color w:val="000000"/>
          <w:sz w:val="44"/>
          <w:szCs w:val="44"/>
          <w:lang w:val="en-US" w:eastAsia="zh-CN"/>
        </w:rPr>
        <w:t>利</w:t>
      </w:r>
      <w:r>
        <w:rPr>
          <w:rFonts w:hint="eastAsia" w:ascii="Times New Roman" w:hAnsi="黑体" w:eastAsia="黑体"/>
          <w:b/>
          <w:color w:val="000000"/>
          <w:sz w:val="44"/>
          <w:szCs w:val="44"/>
        </w:rPr>
        <w:t>局</w:t>
      </w:r>
    </w:p>
    <w:p>
      <w:pPr>
        <w:tabs>
          <w:tab w:val="left" w:pos="1663"/>
        </w:tabs>
        <w:ind w:firstLine="1767" w:firstLineChars="400"/>
        <w:jc w:val="both"/>
        <w:rPr>
          <w:rFonts w:hint="eastAsia" w:ascii="Times New Roman" w:hAnsi="黑体" w:eastAsia="黑体"/>
          <w:b/>
          <w:color w:val="000000"/>
          <w:sz w:val="44"/>
          <w:szCs w:val="44"/>
        </w:rPr>
      </w:pPr>
      <w:r>
        <w:rPr>
          <w:rFonts w:hint="eastAsia" w:ascii="Times New Roman" w:hAnsi="黑体" w:eastAsia="黑体"/>
          <w:b/>
          <w:color w:val="000000"/>
          <w:sz w:val="44"/>
          <w:szCs w:val="44"/>
        </w:rPr>
        <w:t>准予水行政许可决定书</w:t>
      </w:r>
    </w:p>
    <w:p>
      <w:pPr>
        <w:tabs>
          <w:tab w:val="left" w:pos="1663"/>
        </w:tabs>
        <w:jc w:val="right"/>
        <w:rPr>
          <w:rFonts w:hint="eastAsia" w:ascii="Times New Roman" w:hAnsi="黑体" w:eastAsia="黑体"/>
          <w:color w:val="000000"/>
          <w:sz w:val="30"/>
          <w:szCs w:val="30"/>
        </w:rPr>
      </w:pPr>
    </w:p>
    <w:p>
      <w:pPr>
        <w:tabs>
          <w:tab w:val="left" w:pos="1663"/>
        </w:tabs>
        <w:jc w:val="center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郑水行许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9]80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tabs>
          <w:tab w:val="left" w:pos="1663"/>
        </w:tabs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tabs>
          <w:tab w:val="left" w:pos="1663"/>
        </w:tabs>
        <w:ind w:left="14" w:leftChars="-108" w:right="-92" w:rightChars="-44" w:hanging="241" w:hangingChars="75"/>
        <w:jc w:val="both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许可事项：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关于对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碧源荣府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水土保持方案的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审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批</w:t>
      </w:r>
    </w:p>
    <w:p>
      <w:pPr>
        <w:tabs>
          <w:tab w:val="left" w:pos="1663"/>
        </w:tabs>
        <w:ind w:left="14" w:leftChars="-108" w:right="-92" w:rightChars="-44" w:hanging="241" w:hangingChars="75"/>
        <w:jc w:val="both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1663"/>
        </w:tabs>
        <w:ind w:left="92" w:leftChars="44" w:right="-92" w:rightChars="-44" w:firstLine="80" w:firstLineChars="25"/>
        <w:jc w:val="both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河南碧源新城置业有限公司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：</w:t>
      </w:r>
    </w:p>
    <w:p>
      <w:pPr>
        <w:tabs>
          <w:tab w:val="left" w:pos="1663"/>
        </w:tabs>
        <w:ind w:left="92" w:leftChars="44" w:right="-92" w:rightChars="-44" w:firstLine="720" w:firstLineChars="225"/>
        <w:jc w:val="both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我局于2019年12月31日受理了你单位提出的《关于对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碧源荣府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水土保持方案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审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批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的申请》。经审查，该申请符合法定受理条件，根据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《中华人民共和国行政许可法》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第三十八条第一款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《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水行政许可实施办法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》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第三十二条第一项，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许可如下：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水土保持方案总体意见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、基本同意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建设期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水土流失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防治责任范围为3.11公倾。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二）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同意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水土流失防治执行北方土石山区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一级标准。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三）、基本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同意水土流失防治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目标为：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水土流失治理度9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土壤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流失控制比1.0，渣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土防护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率9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%，林草植被恢复率9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%，林草覆盖率2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四）、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基本同意水土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流失防治分区及防治措施安排。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（五）、基本同意水土保持补偿费为37278.00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二、建设单位在工程建设中应全面落实《中华人民共和国水土保持法》的相关要求，并重点做好以下工作: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（一）、按照批准的水土保持方案，做好水土保持初步设计等后续设计，加强施工组织等管理工作，切实落实水土保持“三同时”制度。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（二）、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严格按照方案要求落实各项水保措施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各类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施工活动要严格限定在征占地范围内，严禁随意占压、扰动和破坏地表植被。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做好表土的剥离和综合利用。根据方案要求合理安排施工时序和水土保持措施进度，严格控制施工期间可能造成的水土流失。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认真做好施工期间的洒水、苫盖、拦挡等临时防护措施，扬尘污染防治达到“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个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100%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”要求。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（三）、严格按照水利部相关要求，切实做好水土保持监测工作，加强水土流失动态监控，并按规定向我局提交监测季度报告及总结报告。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 w:firstLineChars="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（四）、严格按照水利部相关要求，认真做好水土保持监理工作，确保水土保持工程质量。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三、本项目属水土保持“未批先建”项目 ，建设单位要进一步增强水保意识，严格执行水土保持法相关规定，防止此类行为再次发生。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四、本项目的地点、规模如发生重大变化，或水土保持方案实施过程中水土保持措施发生重大变更，应补充或者修改水土保持方案，并报我局审批。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五、本项目在竣工验收和投入使用前应通过水土保持自主验收；自主验收应根据水土保持法律法规、标准规范、水土保持方案及本审批决定、水土保持后续设计等进行，严格执行水土保持设施验收标准和条件；生产建设单位应当在水土保持设施验收通过3个月内，向我局报备水土保持设施验收材料；水土保持设施未验收或验收不合格的，建设项目不得投入使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联系人：孙立波，0371—67581091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刘  杰，0371—67721829                    </w:t>
      </w:r>
    </w:p>
    <w:p>
      <w:pPr>
        <w:tabs>
          <w:tab w:val="left" w:pos="1663"/>
        </w:tabs>
        <w:ind w:right="-92" w:rightChars="-44" w:firstLine="640" w:firstLineChars="200"/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附件：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碧源荣府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水土保持方案报告书技术评审意见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2019年12月31日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549F5"/>
    <w:rsid w:val="050E3F95"/>
    <w:rsid w:val="12E76961"/>
    <w:rsid w:val="12FD2C31"/>
    <w:rsid w:val="18C3088C"/>
    <w:rsid w:val="1B1E17F9"/>
    <w:rsid w:val="1BBF7AA3"/>
    <w:rsid w:val="316B5A95"/>
    <w:rsid w:val="31AC4D46"/>
    <w:rsid w:val="36E549F5"/>
    <w:rsid w:val="381B08CA"/>
    <w:rsid w:val="3E7B39F6"/>
    <w:rsid w:val="3FA97AB9"/>
    <w:rsid w:val="559B1DFF"/>
    <w:rsid w:val="5AD82A69"/>
    <w:rsid w:val="5C883F33"/>
    <w:rsid w:val="6AC61794"/>
    <w:rsid w:val="6D7C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2019-11-04T01:54:00Z</dcterms:created>
  <dc:creator>4032-K31</dc:creator>
  <cp:lastModifiedBy>4032-K31</cp:lastModifiedBy>
  <cp:lastPrinted>2019-12-31T02:19:35Z</cp:lastPrinted>
  <dcterms:modified xsi:type="dcterms:W3CDTF">2019-12-31T02:19:53Z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