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9]65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tabs>
          <w:tab w:val="left" w:pos="1663"/>
        </w:tabs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郑州市双桥污水处理厂工程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郑州市污水净化有限公司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我局于2019年11月27日受理了你单位提出的《关于对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郑州市双桥污水处理厂工程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的申请》（郑净水[2019]121号）。经审查，该申请符合法定受理条件，根据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防治责任范围为36.15公倾。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设计水平年（2019年）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（五）、基本同意建设期水土保持补偿费为433854.0元。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，生产建设单位要进一步增强水保意识，严格执行水土保持法，防止此类行为再次发生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四、本工程的地点、规模如发生重大变化，或水土保持方案实施过程中水土保持措施发生重大变更，应补充或者修改水土保持方案，并报我局审批。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郑州市双桥污水处理厂工程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2019年11月29日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2BB7"/>
    <w:rsid w:val="1C9D2BB7"/>
    <w:rsid w:val="34667782"/>
    <w:rsid w:val="472076B8"/>
    <w:rsid w:val="52D8039D"/>
    <w:rsid w:val="5F5D05CB"/>
    <w:rsid w:val="66B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2019-11-29T01:04:00Z</dcterms:created>
  <dc:creator>4032-K31</dc:creator>
  <cp:lastModifiedBy>4032-K31</cp:lastModifiedBy>
  <cp:lastPrinted>2019-11-29T07:59:48Z</cp:lastPrinted>
  <dcterms:modified xsi:type="dcterms:W3CDTF">2019-11-29T08:00:24Z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