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9]64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eastAsia="仿宋_GB2312"/>
          <w:b/>
          <w:bCs/>
          <w:sz w:val="30"/>
          <w:szCs w:val="30"/>
        </w:rPr>
        <w:t>郑州市潮河上游南曹村桥至小魏庄水库段生态治理一期工程（小魏庄水库至京广铁路桥）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郑州市潮河上游生态治理工程建设管理局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我局于2019年11月12日受理了你单位提出的《关于对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郑州市潮河上游南曹村桥至小魏庄水库段生态治理一期工程（小魏庄水库至京广铁路桥）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的申请》（郑潮建[2019]2号）。经审查，该申请符合法定受理条件，根据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防治责任范围为13.59公倾。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设计水平年（2021年）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（五）、基本同意建设期水土保持补偿费为163136.4元。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落实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产使用前应通过水土保持自主验收；自主验收应根据水土保持有关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郑州市潮河上游南曹村桥至小魏庄水库段生态治理一期工程（小魏庄水库至京广铁路桥）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联系人：孙立波，电话：67581091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刘  杰，电话；67721829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2019年11月13日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EBC"/>
    <w:rsid w:val="00D86AE6"/>
    <w:rsid w:val="0AF339C1"/>
    <w:rsid w:val="1A8C6C46"/>
    <w:rsid w:val="1E8E4043"/>
    <w:rsid w:val="24C016F6"/>
    <w:rsid w:val="361F04C4"/>
    <w:rsid w:val="4B736ED6"/>
    <w:rsid w:val="6026645C"/>
    <w:rsid w:val="670B4EBC"/>
    <w:rsid w:val="6A9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2019-11-12T08:10:00Z</dcterms:created>
  <dc:creator>4032-K31</dc:creator>
  <cp:lastModifiedBy>4032-K31</cp:lastModifiedBy>
  <cp:lastPrinted>2019-11-14T02:04:14Z</cp:lastPrinted>
  <dcterms:modified xsi:type="dcterms:W3CDTF">2019-11-14T02:09:11Z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