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63"/>
        </w:tabs>
        <w:jc w:val="center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郑州市水</w:t>
      </w:r>
      <w:r>
        <w:rPr>
          <w:rFonts w:hint="eastAsia" w:ascii="Times New Roman" w:hAnsi="黑体" w:eastAsia="黑体"/>
          <w:b/>
          <w:color w:val="000000"/>
          <w:sz w:val="44"/>
          <w:szCs w:val="44"/>
          <w:lang w:val="en-US" w:eastAsia="zh-CN"/>
        </w:rPr>
        <w:t>利</w:t>
      </w:r>
      <w:r>
        <w:rPr>
          <w:rFonts w:hint="eastAsia" w:ascii="Times New Roman" w:hAnsi="黑体" w:eastAsia="黑体"/>
          <w:b/>
          <w:color w:val="000000"/>
          <w:sz w:val="44"/>
          <w:szCs w:val="44"/>
        </w:rPr>
        <w:t>局</w:t>
      </w:r>
    </w:p>
    <w:p>
      <w:pPr>
        <w:tabs>
          <w:tab w:val="left" w:pos="1663"/>
        </w:tabs>
        <w:jc w:val="center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准予水行政许可决定书</w:t>
      </w:r>
    </w:p>
    <w:p>
      <w:pPr>
        <w:tabs>
          <w:tab w:val="left" w:pos="1663"/>
        </w:tabs>
        <w:jc w:val="right"/>
        <w:rPr>
          <w:rFonts w:hint="eastAsia" w:ascii="Times New Roman" w:hAnsi="黑体" w:eastAsia="黑体"/>
          <w:color w:val="000000"/>
          <w:sz w:val="30"/>
          <w:szCs w:val="30"/>
        </w:rPr>
      </w:pPr>
    </w:p>
    <w:p>
      <w:pPr>
        <w:tabs>
          <w:tab w:val="left" w:pos="1663"/>
        </w:tabs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郑水行许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9]49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1663"/>
        </w:tabs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许可事项：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关于对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郑州（南部）环保能源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工程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水土保持方案的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批</w:t>
      </w: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663"/>
        </w:tabs>
        <w:ind w:left="92" w:leftChars="44" w:right="-92" w:rightChars="-44" w:firstLine="80" w:firstLineChars="25"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郑州正兴环保能源有限公司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：</w:t>
      </w:r>
    </w:p>
    <w:p>
      <w:pPr>
        <w:tabs>
          <w:tab w:val="left" w:pos="1663"/>
        </w:tabs>
        <w:ind w:left="92" w:leftChars="44" w:right="-92" w:rightChars="-44" w:firstLine="720" w:firstLineChars="225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你单位报送的《关于对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郑州（南部）环保能源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工程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水土保持方案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批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的申请》（正兴环保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[2019]17号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）收悉。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依据《中华人民共和国行政许可法》、《中华人民共和国水土保持法》及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其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配套法规、技术规范的有关规定，经审查，该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符合法定条件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，许可如下：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、基本同意水土流失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防治责任范围为12.17公倾。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水土流失防治执行北方土石山区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设计水平年（2021年）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水土流失防治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目标为：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水土流失治理度为9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流失控制比为1.0，渣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土防护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率为9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表土保护率为95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林草植被恢复率为9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%，林草覆盖率为2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基本同意水土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流失防治分区及防治措施安排。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五）、基本同意水土流失监测时段、内容和方法。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（六）、基本同意建设期水土保持补偿费为146011.2元。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二、建设单位在工程建设中应全面落实《中华人民共和国水土保持法》的各项要求，并重点做好以下工作: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（一）、按照批准的水土保持方案，做好水土保持初步设计等后续设计，加强施工组织等管理工作，切实落实水土保持“三同时”制度。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（二）、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严格按照方案要求落实各项水保措施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。认真做好施工期间的洒水、苫盖、拦挡等临时防护措施，扬尘污染防治达到“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”要求。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施工活动要严格限定在征占地范围内，严禁随意占压、扰动和破坏地表植被。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（三）、当地水行政主管部门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要依法加强监督检查。建设单位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时向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当地水行政主管部门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报告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工程进展情况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积极配合、主动接受各级水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行政主管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（四）、严格按照水利部相关要求，做好水土保持监测工作，并按规定向我局提交水土保持监测实施方案、季度报告及总结报告。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（五）、严格按照水利部相关要求，落实水土保持监理工作，确保水土保持工程质量和进度。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（六）、建设单位应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及时与我局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农水和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水保处联系缴纳水土保持补偿费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三、本工程的地点、规模如发生重大变化，或水土保持方案实施过程中水土保持措施发生重大变更，应补充或者修改水土保持方案，并报我局审批。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四、本工程在竣工验收和投入使用前应通过水土保持设施验收；水土保持设施未验收或验收不合格的，工程不得投入使用。                     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郑州（南部）环保能源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工程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水土保持方案报告书技术评审意见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2019年10月9日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70755"/>
    <w:rsid w:val="14913549"/>
    <w:rsid w:val="25570755"/>
    <w:rsid w:val="29B56F5E"/>
    <w:rsid w:val="3DF6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2019-09-30T06:25:00Z</dcterms:created>
  <dc:creator>4032-K31</dc:creator>
  <cp:lastModifiedBy>4032-K31</cp:lastModifiedBy>
  <cp:lastPrinted>2019-10-09T08:38:37Z</cp:lastPrinted>
  <dcterms:modified xsi:type="dcterms:W3CDTF">2019-10-09T08:39:22Z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